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22" w:tblpY="514"/>
        <w:tblOverlap w:val="never"/>
        <w:tblW w:w="8903" w:type="dxa"/>
        <w:tblInd w:w="0" w:type="dxa"/>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2091"/>
        <w:gridCol w:w="5111"/>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3792" w:type="dxa"/>
            <w:gridSpan w:val="2"/>
            <w:tcBorders>
              <w:top w:val="single" w:color="000000" w:sz="12" w:space="0"/>
              <w:bottom w:val="single" w:color="000000" w:sz="12" w:space="0"/>
              <w:right w:val="nil"/>
            </w:tcBorders>
            <w:vAlign w:val="center"/>
          </w:tcPr>
          <w:p>
            <w:pPr>
              <w:rPr>
                <w:rFonts w:hint="eastAsia" w:ascii="Arial" w:hAnsi="Arial" w:eastAsia="宋体" w:cs="Arial"/>
                <w:b/>
                <w:sz w:val="30"/>
                <w:szCs w:val="30"/>
                <w:lang w:val="en-US" w:eastAsia="zh-CN"/>
              </w:rPr>
            </w:pPr>
            <w:r>
              <w:rPr>
                <w:rFonts w:ascii="Arial" w:hAnsi="Arial" w:cs="Arial"/>
                <w:b/>
                <w:sz w:val="30"/>
                <w:szCs w:val="30"/>
              </w:rPr>
              <w:t>Actmix</w:t>
            </w:r>
            <w:r>
              <w:rPr>
                <w:rFonts w:hint="eastAsia" w:ascii="Arial" w:hAnsi="Arial" w:cs="Arial"/>
                <w:b/>
                <w:sz w:val="30"/>
                <w:szCs w:val="30"/>
                <w:lang w:val="en-US" w:eastAsia="zh-CN"/>
              </w:rPr>
              <w:t xml:space="preserve"> </w:t>
            </w:r>
            <w:r>
              <w:rPr>
                <w:rFonts w:hint="eastAsia" w:ascii="Arial" w:hAnsi="Arial" w:cs="Arial"/>
                <w:b/>
                <w:sz w:val="30"/>
                <w:szCs w:val="30"/>
                <w:vertAlign w:val="baseline"/>
                <w:lang w:val="en-US" w:eastAsia="zh-CN"/>
              </w:rPr>
              <w:t>Sb</w:t>
            </w:r>
            <w:r>
              <w:rPr>
                <w:rFonts w:hint="eastAsia" w:ascii="Arial" w:hAnsi="Arial" w:cs="Arial"/>
                <w:b/>
                <w:sz w:val="30"/>
                <w:szCs w:val="30"/>
                <w:vertAlign w:val="subscript"/>
                <w:lang w:val="en-US" w:eastAsia="zh-CN"/>
              </w:rPr>
              <w:t>2</w:t>
            </w:r>
            <w:r>
              <w:rPr>
                <w:rFonts w:hint="eastAsia" w:ascii="Arial" w:hAnsi="Arial" w:cs="Arial"/>
                <w:b/>
                <w:sz w:val="30"/>
                <w:szCs w:val="30"/>
                <w:vertAlign w:val="baseline"/>
                <w:lang w:val="en-US" w:eastAsia="zh-CN"/>
              </w:rPr>
              <w:t>O</w:t>
            </w:r>
            <w:r>
              <w:rPr>
                <w:rFonts w:hint="eastAsia" w:ascii="Arial" w:hAnsi="Arial" w:cs="Arial"/>
                <w:b/>
                <w:sz w:val="30"/>
                <w:szCs w:val="30"/>
                <w:vertAlign w:val="subscript"/>
                <w:lang w:val="en-US" w:eastAsia="zh-CN"/>
              </w:rPr>
              <w:t>3</w:t>
            </w:r>
            <w:r>
              <w:rPr>
                <w:rFonts w:hint="eastAsia" w:ascii="Arial" w:hAnsi="Arial" w:cs="Arial"/>
                <w:b/>
                <w:sz w:val="30"/>
                <w:szCs w:val="30"/>
                <w:vertAlign w:val="baseline"/>
                <w:lang w:val="en-US" w:eastAsia="zh-CN"/>
              </w:rPr>
              <w:t>-85GS</w:t>
            </w:r>
          </w:p>
        </w:tc>
        <w:tc>
          <w:tcPr>
            <w:tcW w:w="5111" w:type="dxa"/>
            <w:tcBorders>
              <w:top w:val="single" w:color="000000" w:sz="12" w:space="0"/>
              <w:left w:val="nil"/>
              <w:bottom w:val="single" w:color="000000" w:sz="12" w:space="0"/>
            </w:tcBorders>
            <w:vAlign w:val="center"/>
          </w:tcPr>
          <w:p>
            <w:pPr>
              <w:rPr>
                <w:rFonts w:hint="eastAsia" w:ascii="Times New Roman" w:hAnsi="Times New Roman"/>
                <w:sz w:val="30"/>
                <w:szCs w:val="30"/>
              </w:rPr>
            </w:pPr>
            <w:r>
              <w:rPr>
                <w:rFonts w:hint="eastAsia" w:ascii="Times New Roman" w:hAnsi="Times New Roman"/>
                <w:sz w:val="30"/>
                <w:szCs w:val="30"/>
                <w:lang w:val="en-US" w:eastAsia="zh-CN"/>
              </w:rPr>
              <w:t xml:space="preserve">              </w:t>
            </w:r>
            <w:r>
              <w:rPr>
                <w:rFonts w:hint="eastAsia" w:ascii="Times New Roman" w:hAnsi="Times New Roman"/>
                <w:sz w:val="30"/>
                <w:szCs w:val="30"/>
              </w:rPr>
              <w:t>预分散橡胶</w:t>
            </w:r>
            <w:r>
              <w:rPr>
                <w:rFonts w:hint="eastAsia" w:ascii="Times New Roman" w:hAnsi="Times New Roman"/>
                <w:sz w:val="30"/>
                <w:szCs w:val="30"/>
                <w:lang w:val="en-US" w:eastAsia="zh-CN"/>
              </w:rPr>
              <w:t>阻燃</w:t>
            </w:r>
            <w:r>
              <w:rPr>
                <w:rFonts w:hint="eastAsia" w:ascii="Times New Roman" w:hAnsi="Times New Roman"/>
                <w:sz w:val="30"/>
                <w:szCs w:val="30"/>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701" w:type="dxa"/>
            <w:tcBorders>
              <w:top w:val="single" w:color="000000" w:sz="12" w:space="0"/>
              <w:left w:val="nil"/>
              <w:bottom w:val="single" w:color="000000" w:sz="12" w:space="0"/>
              <w:right w:val="nil"/>
            </w:tcBorders>
            <w:vAlign w:val="center"/>
          </w:tcPr>
          <w:p>
            <w:pPr>
              <w:rPr>
                <w:rFonts w:ascii="Times New Roman" w:hAnsi="Times New Roman"/>
                <w:b/>
                <w:sz w:val="24"/>
                <w:szCs w:val="24"/>
              </w:rPr>
            </w:pPr>
            <w:bookmarkStart w:id="0" w:name="_GoBack" w:colFirst="1" w:colLast="2"/>
            <w:r>
              <w:rPr>
                <w:rFonts w:hint="eastAsia" w:ascii="Times New Roman" w:hAnsi="Times New Roman"/>
                <w:b/>
                <w:sz w:val="24"/>
                <w:szCs w:val="24"/>
              </w:rPr>
              <w:t>功能</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阻燃</w:t>
            </w:r>
            <w:r>
              <w:rPr>
                <w:rFonts w:hint="eastAsia" w:ascii="Times New Roman" w:hAnsi="Times New Roman" w:eastAsia="宋体"/>
                <w:sz w:val="24"/>
                <w:szCs w:val="24"/>
                <w:lang w:val="en-US" w:eastAsia="zh-CN"/>
              </w:rPr>
              <w:t>剂</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vMerge w:val="restart"/>
            <w:tcBorders>
              <w:top w:val="single" w:color="000000" w:sz="12" w:space="0"/>
              <w:left w:val="nil"/>
              <w:bottom w:val="single" w:color="000000" w:sz="4" w:space="0"/>
              <w:right w:val="nil"/>
            </w:tcBorders>
          </w:tcPr>
          <w:p>
            <w:pPr>
              <w:rPr>
                <w:rFonts w:ascii="Times New Roman" w:hAnsi="Times New Roman"/>
                <w:b/>
                <w:sz w:val="24"/>
                <w:szCs w:val="24"/>
              </w:rPr>
            </w:pPr>
            <w:r>
              <w:rPr>
                <w:rFonts w:hint="eastAsia" w:ascii="Times New Roman" w:hAnsi="Times New Roman"/>
                <w:b/>
                <w:sz w:val="24"/>
                <w:szCs w:val="24"/>
              </w:rPr>
              <w:t>产品说明</w:t>
            </w:r>
          </w:p>
        </w:tc>
        <w:tc>
          <w:tcPr>
            <w:tcW w:w="2091"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组成：</w:t>
            </w:r>
          </w:p>
        </w:tc>
        <w:tc>
          <w:tcPr>
            <w:tcW w:w="5111" w:type="dxa"/>
            <w:tcBorders>
              <w:top w:val="single" w:color="000000" w:sz="12" w:space="0"/>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Arial" w:hAnsi="Arial" w:cs="Arial"/>
                <w:sz w:val="24"/>
                <w:szCs w:val="24"/>
                <w:lang w:val="en-US" w:eastAsia="zh-CN"/>
              </w:rPr>
              <w:t>85%</w:t>
            </w:r>
            <w:r>
              <w:rPr>
                <w:rFonts w:hint="eastAsia"/>
                <w:sz w:val="24"/>
                <w:szCs w:val="24"/>
                <w:lang w:val="en-US" w:eastAsia="zh-CN"/>
              </w:rPr>
              <w:t>三氧化二</w:t>
            </w:r>
            <w:r>
              <w:rPr>
                <w:rFonts w:hint="eastAsia" w:ascii="Arial" w:hAnsi="Arial" w:cs="Arial"/>
                <w:sz w:val="24"/>
                <w:szCs w:val="24"/>
                <w:lang w:val="en-US" w:eastAsia="zh-CN"/>
              </w:rPr>
              <w:t>锑和15%预分散</w:t>
            </w:r>
            <w:r>
              <w:rPr>
                <w:rFonts w:hint="eastAsia"/>
                <w:sz w:val="24"/>
                <w:szCs w:val="24"/>
                <w:lang w:val="en-US" w:eastAsia="zh-CN"/>
              </w:rPr>
              <w:t>橡胶载体</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209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外观：</w:t>
            </w:r>
          </w:p>
        </w:tc>
        <w:tc>
          <w:tcPr>
            <w:tcW w:w="511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白色颗粒</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701" w:type="dxa"/>
            <w:vMerge w:val="continue"/>
            <w:tcBorders>
              <w:top w:val="single" w:color="000000" w:sz="4" w:space="0"/>
              <w:left w:val="nil"/>
              <w:bottom w:val="single" w:color="000000" w:sz="4" w:space="0"/>
              <w:right w:val="nil"/>
            </w:tcBorders>
            <w:vAlign w:val="center"/>
          </w:tcPr>
          <w:p>
            <w:pPr>
              <w:spacing w:beforeLines="100" w:afterLines="50"/>
              <w:rPr>
                <w:rFonts w:ascii="Times New Roman" w:hAnsi="Times New Roman"/>
                <w:b/>
                <w:sz w:val="24"/>
                <w:szCs w:val="24"/>
              </w:rPr>
            </w:pPr>
          </w:p>
        </w:tc>
        <w:tc>
          <w:tcPr>
            <w:tcW w:w="209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 xml:space="preserve">密度（20 </w:t>
            </w:r>
            <w:r>
              <w:rPr>
                <w:rFonts w:ascii="Times New Roman" w:hAnsi="Times New Roman"/>
                <w:sz w:val="24"/>
                <w:szCs w:val="24"/>
              </w:rPr>
              <w:t>°C</w:t>
            </w:r>
            <w:r>
              <w:rPr>
                <w:rFonts w:hint="eastAsia" w:ascii="Times New Roman" w:hAnsi="Times New Roman"/>
                <w:sz w:val="24"/>
                <w:szCs w:val="24"/>
              </w:rPr>
              <w:t>）：</w:t>
            </w:r>
          </w:p>
        </w:tc>
        <w:tc>
          <w:tcPr>
            <w:tcW w:w="5111"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Arial" w:hAnsi="Arial" w:cs="Arial"/>
                <w:sz w:val="24"/>
                <w:szCs w:val="24"/>
                <w:vertAlign w:val="superscript"/>
              </w:rPr>
            </w:pPr>
            <w:r>
              <w:rPr>
                <w:rFonts w:hint="eastAsia" w:ascii="Arial" w:hAnsi="Arial" w:cs="Arial"/>
                <w:sz w:val="24"/>
                <w:szCs w:val="24"/>
                <w:lang w:val="en-US" w:eastAsia="zh-CN"/>
              </w:rPr>
              <w:t>约3.1</w:t>
            </w:r>
            <w:r>
              <w:rPr>
                <w:rFonts w:ascii="Arial" w:hAnsi="Arial" w:cs="Arial"/>
                <w:sz w:val="24"/>
                <w:szCs w:val="24"/>
              </w:rPr>
              <w:t>g/cm</w:t>
            </w:r>
            <w:r>
              <w:rPr>
                <w:rFonts w:ascii="Arial" w:hAnsi="Arial" w:cs="Arial"/>
                <w:sz w:val="24"/>
                <w:szCs w:val="24"/>
                <w:vertAlign w:val="superscript"/>
              </w:rPr>
              <w:t>3</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701" w:type="dxa"/>
            <w:vMerge w:val="continue"/>
            <w:tcBorders>
              <w:top w:val="single" w:color="000000" w:sz="4" w:space="0"/>
              <w:left w:val="nil"/>
              <w:bottom w:val="single" w:color="000000" w:sz="12" w:space="0"/>
              <w:right w:val="nil"/>
            </w:tcBorders>
            <w:vAlign w:val="center"/>
          </w:tcPr>
          <w:p>
            <w:pPr>
              <w:spacing w:beforeLines="100" w:afterLines="50"/>
              <w:rPr>
                <w:rFonts w:ascii="Times New Roman" w:hAnsi="Times New Roman"/>
                <w:b/>
                <w:sz w:val="24"/>
                <w:szCs w:val="24"/>
              </w:rPr>
            </w:pPr>
          </w:p>
        </w:tc>
        <w:tc>
          <w:tcPr>
            <w:tcW w:w="2091"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安全特性：</w:t>
            </w:r>
          </w:p>
        </w:tc>
        <w:tc>
          <w:tcPr>
            <w:tcW w:w="5111" w:type="dxa"/>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参照安全数据表</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01" w:type="dxa"/>
            <w:tcBorders>
              <w:top w:val="single" w:color="000000" w:sz="12" w:space="0"/>
              <w:left w:val="nil"/>
              <w:bottom w:val="single" w:color="000000" w:sz="12" w:space="0"/>
              <w:right w:val="nil"/>
            </w:tcBorders>
            <w:vAlign w:val="center"/>
          </w:tcPr>
          <w:p>
            <w:pPr>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应用资料</w:t>
            </w:r>
          </w:p>
        </w:tc>
        <w:tc>
          <w:tcPr>
            <w:tcW w:w="7202" w:type="dxa"/>
            <w:gridSpan w:val="2"/>
            <w:tcBorders>
              <w:top w:val="single" w:color="000000" w:sz="12" w:space="0"/>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1701" w:type="dxa"/>
            <w:tcBorders>
              <w:top w:val="single" w:color="000000" w:sz="12" w:space="0"/>
              <w:left w:val="nil"/>
              <w:bottom w:val="nil"/>
              <w:right w:val="nil"/>
            </w:tcBorders>
          </w:tcPr>
          <w:p>
            <w:pPr>
              <w:rPr>
                <w:rFonts w:hint="eastAsia" w:ascii="Times New Roman" w:hAnsi="Times New Roman"/>
                <w:sz w:val="24"/>
                <w:szCs w:val="24"/>
                <w:lang w:val="en-US" w:eastAsia="zh-CN"/>
              </w:rPr>
            </w:pPr>
            <w:r>
              <w:rPr>
                <w:rFonts w:hint="eastAsia" w:ascii="Times New Roman" w:hAnsi="Times New Roman"/>
                <w:sz w:val="24"/>
                <w:szCs w:val="24"/>
                <w:lang w:val="en-US" w:eastAsia="zh-CN"/>
              </w:rPr>
              <w:t>用途：</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Actmix</w:t>
            </w:r>
            <w:r>
              <w:rPr>
                <w:rFonts w:hint="eastAsia" w:ascii="Times New Roman" w:hAnsi="Times New Roman"/>
                <w:sz w:val="24"/>
                <w:szCs w:val="24"/>
                <w:lang w:val="en-US" w:eastAsia="zh-CN"/>
              </w:rPr>
              <w:t xml:space="preserve"> Sb</w:t>
            </w:r>
            <w:r>
              <w:rPr>
                <w:rFonts w:hint="eastAsia" w:ascii="Times New Roman" w:hAnsi="Times New Roman"/>
                <w:sz w:val="24"/>
                <w:szCs w:val="24"/>
                <w:vertAlign w:val="subscript"/>
                <w:lang w:val="en-US" w:eastAsia="zh-CN"/>
              </w:rPr>
              <w:t>2</w:t>
            </w:r>
            <w:r>
              <w:rPr>
                <w:rFonts w:hint="eastAsia" w:ascii="Times New Roman" w:hAnsi="Times New Roman"/>
                <w:sz w:val="24"/>
                <w:szCs w:val="24"/>
                <w:lang w:val="en-US" w:eastAsia="zh-CN"/>
              </w:rPr>
              <w:t>O</w:t>
            </w:r>
            <w:r>
              <w:rPr>
                <w:rFonts w:hint="eastAsia" w:ascii="Times New Roman" w:hAnsi="Times New Roman"/>
                <w:sz w:val="24"/>
                <w:szCs w:val="24"/>
                <w:vertAlign w:val="subscript"/>
                <w:lang w:val="en-US" w:eastAsia="zh-CN"/>
              </w:rPr>
              <w:t>3</w:t>
            </w:r>
            <w:r>
              <w:rPr>
                <w:rFonts w:hint="eastAsia" w:ascii="Times New Roman" w:hAnsi="Times New Roman"/>
                <w:sz w:val="24"/>
                <w:szCs w:val="24"/>
                <w:lang w:val="en-US" w:eastAsia="zh-CN"/>
              </w:rPr>
              <w:t>-85GS是</w:t>
            </w:r>
            <w:r>
              <w:rPr>
                <w:rFonts w:hint="default" w:ascii="Times New Roman" w:hAnsi="Times New Roman"/>
                <w:sz w:val="24"/>
                <w:szCs w:val="24"/>
                <w:lang w:val="en-US" w:eastAsia="zh-CN"/>
              </w:rPr>
              <w:t>一种</w:t>
            </w:r>
            <w:r>
              <w:rPr>
                <w:rFonts w:hint="eastAsia" w:ascii="Times New Roman" w:hAnsi="Times New Roman"/>
                <w:sz w:val="24"/>
                <w:szCs w:val="24"/>
                <w:lang w:val="en-US" w:eastAsia="zh-CN"/>
              </w:rPr>
              <w:t>预分散橡胶阻燃剂</w:t>
            </w:r>
            <w:r>
              <w:rPr>
                <w:rFonts w:hint="default" w:ascii="Times New Roman" w:hAnsi="Times New Roman"/>
                <w:sz w:val="24"/>
                <w:szCs w:val="24"/>
                <w:lang w:val="en-US" w:eastAsia="zh-CN"/>
              </w:rPr>
              <w:t>，</w:t>
            </w:r>
            <w:r>
              <w:rPr>
                <w:rFonts w:hint="eastAsia" w:ascii="Times New Roman" w:hAnsi="Times New Roman"/>
                <w:sz w:val="24"/>
                <w:szCs w:val="24"/>
                <w:lang w:val="en-US" w:eastAsia="zh-CN"/>
              </w:rPr>
              <w:t>单独使用阻燃效果低，与磷酸酯、含氯化合物（如多氯联苯）、含溴化合物（如六溴苯）并用，有良好的协同效应，阻燃效能显著提高。三氧化二锑在燃烧初期，首先是熔融，在材料表面形成保护膜隔绝空气，通过内部吸热反应，降低燃烧温度。在高温状态下三氧化二锑被气化，稀释了空气中氧浓度，从而起到阻燃作用</w:t>
            </w:r>
            <w:r>
              <w:rPr>
                <w:rFonts w:hint="default" w:ascii="Times New Roman" w:hAnsi="Times New Roman"/>
                <w:sz w:val="24"/>
                <w:szCs w:val="24"/>
                <w:lang w:val="en-US" w:eastAsia="zh-CN"/>
              </w:rPr>
              <w:t>。</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701" w:type="dxa"/>
            <w:tcBorders>
              <w:top w:val="nil"/>
              <w:left w:val="nil"/>
              <w:bottom w:val="nil"/>
              <w:right w:val="nil"/>
            </w:tcBorders>
            <w:vAlign w:val="center"/>
          </w:tcPr>
          <w:p>
            <w:pPr>
              <w:jc w:val="both"/>
              <w:rPr>
                <w:rFonts w:ascii="Times New Roman" w:hAnsi="Times New Roman"/>
                <w:sz w:val="24"/>
                <w:szCs w:val="24"/>
              </w:rPr>
            </w:pPr>
            <w:r>
              <w:rPr>
                <w:rFonts w:hint="eastAsia" w:ascii="Times New Roman" w:hAnsi="Times New Roman"/>
                <w:sz w:val="24"/>
                <w:szCs w:val="24"/>
              </w:rPr>
              <w:t>用量：</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通常情况下0-20phr</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701" w:type="dxa"/>
            <w:tcBorders>
              <w:top w:val="single" w:color="000000" w:sz="12" w:space="0"/>
              <w:left w:val="nil"/>
              <w:bottom w:val="nil"/>
              <w:right w:val="nil"/>
            </w:tcBorders>
            <w:vAlign w:val="center"/>
          </w:tcPr>
          <w:p>
            <w:pP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应用</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12" w:lineRule="auto"/>
              <w:jc w:val="left"/>
              <w:textAlignment w:val="auto"/>
              <w:rPr>
                <w:rFonts w:hint="eastAsia" w:ascii="Times New Roman" w:hAnsi="Times New Roman"/>
                <w:sz w:val="24"/>
                <w:szCs w:val="24"/>
              </w:rPr>
            </w:pPr>
            <w:r>
              <w:rPr>
                <w:rFonts w:hint="default" w:ascii="Times New Roman" w:hAnsi="Times New Roman" w:cs="Times New Roman"/>
                <w:sz w:val="24"/>
                <w:szCs w:val="24"/>
                <w:lang w:eastAsia="zh-CN"/>
              </w:rPr>
              <w:t>用于</w:t>
            </w:r>
            <w:r>
              <w:rPr>
                <w:rFonts w:hint="eastAsia" w:ascii="Times New Roman" w:hAnsi="Times New Roman" w:cs="Times New Roman"/>
                <w:sz w:val="24"/>
                <w:szCs w:val="24"/>
                <w:lang w:val="en-US" w:eastAsia="zh-CN"/>
              </w:rPr>
              <w:t>有阻燃要求的</w:t>
            </w:r>
            <w:r>
              <w:rPr>
                <w:rFonts w:hint="default" w:ascii="Times New Roman" w:hAnsi="Times New Roman" w:cs="Times New Roman"/>
                <w:sz w:val="24"/>
                <w:szCs w:val="24"/>
                <w:lang w:val="en-US" w:eastAsia="zh-CN"/>
              </w:rPr>
              <w:t>橡胶</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701" w:type="dxa"/>
            <w:tcBorders>
              <w:top w:val="single" w:color="000000" w:sz="12" w:space="0"/>
              <w:left w:val="nil"/>
              <w:bottom w:val="nil"/>
              <w:right w:val="nil"/>
            </w:tcBorders>
            <w:vAlign w:val="center"/>
          </w:tcPr>
          <w:p>
            <w:pPr>
              <w:rPr>
                <w:rFonts w:ascii="Times New Roman" w:hAnsi="Times New Roman"/>
                <w:sz w:val="24"/>
                <w:szCs w:val="24"/>
              </w:rPr>
            </w:pPr>
            <w:r>
              <w:rPr>
                <w:rFonts w:hint="eastAsia" w:ascii="Times New Roman" w:hAnsi="Times New Roman"/>
                <w:sz w:val="24"/>
                <w:szCs w:val="24"/>
              </w:rPr>
              <w:t>包装：</w:t>
            </w:r>
          </w:p>
        </w:tc>
        <w:tc>
          <w:tcPr>
            <w:tcW w:w="7202" w:type="dxa"/>
            <w:gridSpan w:val="2"/>
            <w:tcBorders>
              <w:top w:val="single" w:color="000000" w:sz="12" w:space="0"/>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内衬PE袋的纸箱</w:t>
            </w:r>
            <w:r>
              <w:rPr>
                <w:rFonts w:hint="eastAsia" w:ascii="Times New Roman" w:hAnsi="Times New Roman"/>
                <w:sz w:val="24"/>
                <w:szCs w:val="24"/>
                <w:lang w:eastAsia="zh-CN"/>
              </w:rPr>
              <w:t>，</w:t>
            </w:r>
            <w:r>
              <w:rPr>
                <w:rFonts w:hint="eastAsia" w:ascii="Times New Roman" w:hAnsi="Times New Roman"/>
                <w:sz w:val="24"/>
                <w:szCs w:val="24"/>
              </w:rPr>
              <w:t>每箱净重2</w:t>
            </w:r>
            <w:r>
              <w:rPr>
                <w:rFonts w:hint="eastAsia" w:ascii="Times New Roman" w:hAnsi="Times New Roman"/>
                <w:sz w:val="24"/>
                <w:szCs w:val="24"/>
                <w:lang w:val="en-US" w:eastAsia="zh-CN"/>
              </w:rPr>
              <w:t>5</w:t>
            </w:r>
            <w:r>
              <w:rPr>
                <w:rFonts w:hint="eastAsia" w:ascii="Times New Roman" w:hAnsi="Times New Roman"/>
                <w:sz w:val="24"/>
                <w:szCs w:val="24"/>
              </w:rPr>
              <w:t>KG</w:t>
            </w:r>
            <w:r>
              <w:rPr>
                <w:rFonts w:hint="eastAsia" w:ascii="Times New Roman" w:hAnsi="Times New Roman"/>
                <w:sz w:val="24"/>
                <w:szCs w:val="24"/>
                <w:lang w:eastAsia="zh-CN"/>
              </w:rPr>
              <w:t>，</w:t>
            </w:r>
            <w:r>
              <w:rPr>
                <w:rFonts w:hint="eastAsia" w:ascii="Times New Roman" w:hAnsi="Times New Roman"/>
                <w:sz w:val="24"/>
                <w:szCs w:val="24"/>
                <w:lang w:val="en-US" w:eastAsia="zh-CN"/>
              </w:rPr>
              <w:t>1000</w:t>
            </w:r>
            <w:r>
              <w:rPr>
                <w:rFonts w:hint="eastAsia" w:ascii="宋体" w:hAnsi="宋体"/>
                <w:sz w:val="24"/>
                <w:szCs w:val="24"/>
              </w:rPr>
              <w:t>公斤/托盘。</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01" w:type="dxa"/>
            <w:tcBorders>
              <w:top w:val="nil"/>
              <w:left w:val="nil"/>
              <w:bottom w:val="nil"/>
              <w:right w:val="nil"/>
            </w:tcBorders>
          </w:tcPr>
          <w:p>
            <w:pPr>
              <w:rPr>
                <w:rFonts w:ascii="Times New Roman" w:hAnsi="Times New Roman"/>
                <w:sz w:val="24"/>
                <w:szCs w:val="24"/>
              </w:rPr>
            </w:pPr>
            <w:r>
              <w:rPr>
                <w:rFonts w:hint="eastAsia" w:ascii="Times New Roman" w:hAnsi="Times New Roman"/>
                <w:sz w:val="24"/>
                <w:szCs w:val="24"/>
              </w:rPr>
              <w:t>储存稳定性：</w:t>
            </w:r>
          </w:p>
        </w:tc>
        <w:tc>
          <w:tcPr>
            <w:tcW w:w="7202" w:type="dxa"/>
            <w:gridSpan w:val="2"/>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密封储存在阴凉、干燥、通风良好的地方，建议产品保存期限为</w:t>
            </w:r>
            <w:r>
              <w:rPr>
                <w:rFonts w:hint="eastAsia" w:ascii="Times New Roman" w:hAnsi="Times New Roman"/>
                <w:sz w:val="24"/>
                <w:szCs w:val="24"/>
                <w:lang w:val="en-US" w:eastAsia="zh-CN"/>
              </w:rPr>
              <w:t>两</w:t>
            </w:r>
            <w:r>
              <w:rPr>
                <w:rFonts w:hint="eastAsia" w:ascii="Times New Roman" w:hAnsi="Times New Roman"/>
                <w:sz w:val="24"/>
                <w:szCs w:val="24"/>
              </w:rPr>
              <w:t>年。</w:t>
            </w: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701" w:type="dxa"/>
            <w:tcBorders>
              <w:top w:val="nil"/>
              <w:left w:val="nil"/>
              <w:bottom w:val="single" w:color="000000" w:sz="12" w:space="0"/>
              <w:right w:val="nil"/>
            </w:tcBorders>
            <w:vAlign w:val="center"/>
          </w:tcPr>
          <w:p>
            <w:pPr>
              <w:rPr>
                <w:rFonts w:ascii="Times New Roman" w:hAnsi="Times New Roman"/>
                <w:sz w:val="24"/>
                <w:szCs w:val="24"/>
              </w:rPr>
            </w:pPr>
            <w:r>
              <w:rPr>
                <w:rFonts w:hint="eastAsia" w:ascii="Times New Roman" w:hAnsi="Times New Roman"/>
                <w:sz w:val="24"/>
                <w:szCs w:val="24"/>
              </w:rPr>
              <w:t>处置：</w:t>
            </w:r>
          </w:p>
        </w:tc>
        <w:tc>
          <w:tcPr>
            <w:tcW w:w="7202" w:type="dxa"/>
            <w:gridSpan w:val="2"/>
            <w:tcBorders>
              <w:top w:val="nil"/>
              <w:left w:val="nil"/>
              <w:bottom w:val="single" w:color="000000" w:sz="12" w:space="0"/>
              <w:right w:val="nil"/>
            </w:tcBorders>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sz w:val="24"/>
                <w:szCs w:val="24"/>
              </w:rPr>
            </w:pPr>
            <w:r>
              <w:rPr>
                <w:rFonts w:hint="eastAsia" w:ascii="Times New Roman" w:hAnsi="Times New Roman"/>
                <w:sz w:val="24"/>
                <w:szCs w:val="24"/>
              </w:rPr>
              <w:t>在橡胶加工过程中化学添加剂的工作区域建议抽风排气，更进一步的处置资料请参考</w:t>
            </w:r>
            <w:r>
              <w:rPr>
                <w:rFonts w:hint="default" w:ascii="Times New Roman" w:hAnsi="Times New Roman"/>
                <w:sz w:val="24"/>
                <w:szCs w:val="24"/>
                <w:lang w:val="en-US" w:eastAsia="zh-CN"/>
              </w:rPr>
              <w:t>Actmix</w:t>
            </w:r>
            <w:r>
              <w:rPr>
                <w:rFonts w:hint="eastAsia" w:ascii="Times New Roman" w:hAnsi="Times New Roman"/>
                <w:sz w:val="24"/>
                <w:szCs w:val="24"/>
                <w:lang w:val="en-US" w:eastAsia="zh-CN"/>
              </w:rPr>
              <w:t xml:space="preserve"> Sb</w:t>
            </w:r>
            <w:r>
              <w:rPr>
                <w:rFonts w:hint="eastAsia" w:ascii="Times New Roman" w:hAnsi="Times New Roman"/>
                <w:sz w:val="24"/>
                <w:szCs w:val="24"/>
                <w:vertAlign w:val="subscript"/>
                <w:lang w:val="en-US" w:eastAsia="zh-CN"/>
              </w:rPr>
              <w:t>2</w:t>
            </w:r>
            <w:r>
              <w:rPr>
                <w:rFonts w:hint="eastAsia" w:ascii="Times New Roman" w:hAnsi="Times New Roman"/>
                <w:sz w:val="24"/>
                <w:szCs w:val="24"/>
                <w:lang w:val="en-US" w:eastAsia="zh-CN"/>
              </w:rPr>
              <w:t>O</w:t>
            </w:r>
            <w:r>
              <w:rPr>
                <w:rFonts w:hint="eastAsia" w:ascii="Times New Roman" w:hAnsi="Times New Roman"/>
                <w:sz w:val="24"/>
                <w:szCs w:val="24"/>
                <w:vertAlign w:val="subscript"/>
                <w:lang w:val="en-US" w:eastAsia="zh-CN"/>
              </w:rPr>
              <w:t>3</w:t>
            </w:r>
            <w:r>
              <w:rPr>
                <w:rFonts w:hint="eastAsia" w:ascii="Times New Roman" w:hAnsi="Times New Roman"/>
                <w:sz w:val="24"/>
                <w:szCs w:val="24"/>
                <w:lang w:val="en-US" w:eastAsia="zh-CN"/>
              </w:rPr>
              <w:t>-85GS</w:t>
            </w:r>
            <w:r>
              <w:rPr>
                <w:rFonts w:hint="eastAsia" w:ascii="Times New Roman" w:hAnsi="Times New Roman"/>
                <w:sz w:val="24"/>
                <w:szCs w:val="24"/>
              </w:rPr>
              <w:t>的安全数据表。</w:t>
            </w:r>
          </w:p>
        </w:tc>
      </w:tr>
      <w:bookmarkEnd w:id="0"/>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8903" w:type="dxa"/>
            <w:gridSpan w:val="3"/>
            <w:tcBorders>
              <w:top w:val="single" w:color="000000" w:sz="12" w:space="0"/>
              <w:left w:val="nil"/>
              <w:bottom w:val="nil"/>
              <w:right w:val="nil"/>
            </w:tcBorders>
            <w:vAlign w:val="center"/>
          </w:tcPr>
          <w:p>
            <w:pPr>
              <w:spacing w:line="252" w:lineRule="auto"/>
              <w:rPr>
                <w:rFonts w:hAnsi="宋体"/>
                <w:sz w:val="18"/>
                <w:szCs w:val="18"/>
              </w:rPr>
            </w:pPr>
            <w:r>
              <w:rPr>
                <w:rFonts w:hint="eastAsia" w:hAnsi="宋体"/>
                <w:sz w:val="18"/>
                <w:szCs w:val="18"/>
                <w:lang w:eastAsia="zh-CN"/>
              </w:rPr>
              <w:tab/>
            </w:r>
          </w:p>
          <w:p>
            <w:pPr>
              <w:spacing w:line="252" w:lineRule="auto"/>
              <w:rPr>
                <w:rFonts w:hAnsi="宋体"/>
                <w:sz w:val="18"/>
                <w:szCs w:val="18"/>
              </w:rPr>
            </w:pPr>
            <w:r>
              <w:rPr>
                <w:rFonts w:hAnsi="宋体"/>
                <w:sz w:val="18"/>
                <w:szCs w:val="18"/>
              </w:rPr>
              <w:t>本产品信息出自我司实验室和所参考的文献资料，因此并不能形成法律效力、或并不能意味着保证或承诺客户在根据自己的配方应用本品的成功性。但是我司会最大程度地在技术上做好专业服务，以方便客户达到其应用本产品的预期目的。</w:t>
            </w:r>
          </w:p>
          <w:p>
            <w:pPr>
              <w:spacing w:line="252" w:lineRule="auto"/>
              <w:rPr>
                <w:rFonts w:hAnsi="宋体"/>
                <w:sz w:val="18"/>
                <w:szCs w:val="18"/>
              </w:rPr>
            </w:pPr>
          </w:p>
        </w:tc>
      </w:tr>
      <w:tr>
        <w:tblPrEx>
          <w:tblBorders>
            <w:top w:val="single" w:color="000000"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903" w:type="dxa"/>
            <w:gridSpan w:val="3"/>
            <w:tcBorders>
              <w:top w:val="nil"/>
              <w:left w:val="nil"/>
              <w:bottom w:val="nil"/>
              <w:right w:val="nil"/>
            </w:tcBorders>
            <w:shd w:val="clear" w:color="auto" w:fill="00CC00"/>
            <w:vAlign w:val="center"/>
          </w:tcPr>
          <w:p>
            <w:pPr>
              <w:rPr>
                <w:rFonts w:ascii="Arial" w:hAnsi="Arial" w:cs="Arial"/>
                <w:b/>
                <w:bCs/>
                <w:color w:val="FFFFFF"/>
                <w:sz w:val="24"/>
                <w:szCs w:val="24"/>
              </w:rPr>
            </w:pPr>
            <w:r>
              <w:rPr>
                <w:rFonts w:ascii="Arial" w:hAnsi="Arial" w:cs="Arial"/>
                <w:b/>
                <w:bCs/>
                <w:color w:val="FFFFFF"/>
                <w:sz w:val="24"/>
                <w:szCs w:val="24"/>
              </w:rPr>
              <w:t>Actmix</w:t>
            </w:r>
            <w:r>
              <w:rPr>
                <w:rFonts w:hint="eastAsia" w:ascii="Arial" w:hAnsi="Arial" w:cs="Arial"/>
                <w:b/>
                <w:bCs/>
                <w:color w:val="FFFFFF"/>
                <w:sz w:val="24"/>
                <w:szCs w:val="24"/>
                <w:lang w:val="en-US" w:eastAsia="zh-CN"/>
              </w:rPr>
              <w:t xml:space="preserve">  Sb</w:t>
            </w:r>
            <w:r>
              <w:rPr>
                <w:rFonts w:hint="eastAsia" w:ascii="Arial" w:hAnsi="Arial" w:cs="Arial"/>
                <w:b/>
                <w:bCs/>
                <w:color w:val="FFFFFF"/>
                <w:sz w:val="24"/>
                <w:szCs w:val="24"/>
                <w:vertAlign w:val="subscript"/>
                <w:lang w:val="en-US" w:eastAsia="zh-CN"/>
              </w:rPr>
              <w:t>2</w:t>
            </w:r>
            <w:r>
              <w:rPr>
                <w:rFonts w:hint="eastAsia" w:ascii="Arial" w:hAnsi="Arial" w:cs="Arial"/>
                <w:b/>
                <w:bCs/>
                <w:color w:val="FFFFFF"/>
                <w:sz w:val="24"/>
                <w:szCs w:val="24"/>
                <w:lang w:val="en-US" w:eastAsia="zh-CN"/>
              </w:rPr>
              <w:t>O</w:t>
            </w:r>
            <w:r>
              <w:rPr>
                <w:rFonts w:hint="eastAsia" w:ascii="Arial" w:hAnsi="Arial" w:cs="Arial"/>
                <w:b/>
                <w:bCs/>
                <w:color w:val="FFFFFF"/>
                <w:sz w:val="24"/>
                <w:szCs w:val="24"/>
                <w:vertAlign w:val="subscript"/>
                <w:lang w:val="en-US" w:eastAsia="zh-CN"/>
              </w:rPr>
              <w:t>3</w:t>
            </w:r>
            <w:r>
              <w:rPr>
                <w:rFonts w:hint="eastAsia" w:ascii="Arial" w:hAnsi="Arial" w:cs="Arial"/>
                <w:b/>
                <w:bCs/>
                <w:color w:val="FFFFFF"/>
                <w:sz w:val="24"/>
                <w:szCs w:val="24"/>
                <w:lang w:val="en-US" w:eastAsia="zh-CN"/>
              </w:rPr>
              <w:t xml:space="preserve">-85GS   </w:t>
            </w:r>
            <w:r>
              <w:rPr>
                <w:rFonts w:hint="eastAsia" w:ascii="Arial" w:hAnsi="Arial" w:cs="Arial"/>
                <w:b/>
                <w:bCs/>
                <w:color w:val="FFFFFF"/>
                <w:sz w:val="24"/>
                <w:szCs w:val="24"/>
              </w:rPr>
              <w:t xml:space="preserve">                   </w:t>
            </w:r>
            <w:r>
              <w:rPr>
                <w:rFonts w:hint="eastAsia" w:ascii="Arial" w:hAnsi="Arial" w:cs="Arial"/>
                <w:b/>
                <w:bCs/>
                <w:color w:val="FFFFFF"/>
                <w:sz w:val="24"/>
                <w:szCs w:val="24"/>
                <w:lang w:val="en-US" w:eastAsia="zh-CN"/>
              </w:rPr>
              <w:t xml:space="preserve">   </w:t>
            </w:r>
            <w:r>
              <w:rPr>
                <w:rFonts w:hint="eastAsia" w:ascii="Arial" w:hAnsi="Arial" w:cs="Arial"/>
                <w:b/>
                <w:bCs/>
                <w:color w:val="FFFFFF"/>
                <w:szCs w:val="21"/>
              </w:rPr>
              <w:t xml:space="preserve">产品技术说明书（TDS） </w:t>
            </w:r>
            <w:r>
              <w:rPr>
                <w:rFonts w:hint="eastAsia" w:ascii="Arial" w:hAnsi="Arial" w:cs="Arial"/>
                <w:color w:val="FFFFFF"/>
                <w:szCs w:val="21"/>
              </w:rPr>
              <w:t>版本1.</w:t>
            </w:r>
            <w:r>
              <w:rPr>
                <w:rFonts w:hint="eastAsia" w:ascii="Arial" w:hAnsi="Arial" w:cs="Arial"/>
                <w:color w:val="FFFFFF"/>
                <w:szCs w:val="21"/>
                <w:lang w:val="en-US" w:eastAsia="zh-CN"/>
              </w:rPr>
              <w:t>4</w:t>
            </w:r>
          </w:p>
        </w:tc>
      </w:tr>
    </w:tbl>
    <w:p>
      <w:pPr>
        <w:spacing w:line="360" w:lineRule="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ACT 65</w:t>
      </w:r>
    </w:p>
    <w:sectPr>
      <w:headerReference r:id="rId3" w:type="default"/>
      <w:footerReference r:id="rId4" w:type="default"/>
      <w:pgSz w:w="11906" w:h="16838"/>
      <w:pgMar w:top="1440" w:right="1800" w:bottom="1440" w:left="1800" w:header="1134" w:footer="116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新宋体" w:hAnsi="新宋体" w:eastAsia="新宋体" w:cs="Arial"/>
        <w:b/>
        <w:color w:val="008000"/>
        <w:sz w:val="44"/>
        <w:szCs w:val="44"/>
      </w:rPr>
    </w:pPr>
    <w:r>
      <w:rPr>
        <w:rFonts w:hint="eastAsia" w:ascii="Arial" w:hAnsi="Arial" w:eastAsia="新宋体" w:cs="Arial"/>
        <w:b/>
        <w:color w:val="008000"/>
        <w:sz w:val="44"/>
        <w:szCs w:val="44"/>
      </w:rPr>
      <w:t>宁波</w:t>
    </w:r>
    <w:r>
      <w:rPr>
        <w:rFonts w:hint="eastAsia" w:ascii="Arial" w:hAnsi="Arial" w:eastAsia="新宋体" w:cs="Arial"/>
        <w:b/>
        <w:color w:val="008000"/>
        <w:sz w:val="44"/>
        <w:szCs w:val="44"/>
        <w:lang w:eastAsia="zh-CN"/>
      </w:rPr>
      <w:t>艾克姆新材料股份</w:t>
    </w:r>
    <w:r>
      <w:rPr>
        <w:rFonts w:hint="eastAsia" w:ascii="Arial" w:hAnsi="Arial" w:eastAsia="新宋体" w:cs="Arial"/>
        <w:b/>
        <w:color w:val="008000"/>
        <w:sz w:val="44"/>
        <w:szCs w:val="44"/>
      </w:rPr>
      <w:t>有限公司</w:t>
    </w:r>
  </w:p>
  <w:p>
    <w:pPr>
      <w:pStyle w:val="3"/>
    </w:pPr>
    <w:r>
      <w:rPr>
        <w:rFonts w:hint="eastAsia" w:ascii="Arial" w:hAnsi="Arial" w:cs="Arial"/>
        <w:color w:val="008000"/>
        <w:kern w:val="0"/>
        <w:sz w:val="18"/>
        <w:szCs w:val="18"/>
      </w:rPr>
      <w:t>电话：</w:t>
    </w:r>
    <w:r>
      <w:rPr>
        <w:rFonts w:hint="eastAsia" w:ascii="Arial" w:hAnsi="Arial" w:cs="Arial"/>
        <w:color w:val="008000"/>
        <w:sz w:val="18"/>
        <w:szCs w:val="18"/>
      </w:rPr>
      <w:t>0</w:t>
    </w:r>
    <w:r>
      <w:rPr>
        <w:rFonts w:ascii="Arial" w:hAnsi="Arial" w:cs="Arial"/>
        <w:color w:val="008000"/>
        <w:sz w:val="18"/>
        <w:szCs w:val="18"/>
      </w:rPr>
      <w:t>574-</w:t>
    </w:r>
    <w:r>
      <w:rPr>
        <w:rFonts w:hint="eastAsia" w:ascii="Arial" w:hAnsi="Arial" w:cs="Arial"/>
        <w:color w:val="008000"/>
        <w:sz w:val="18"/>
        <w:szCs w:val="18"/>
      </w:rPr>
      <w:t xml:space="preserve">87468726  </w:t>
    </w:r>
    <w:r>
      <w:rPr>
        <w:rFonts w:hint="eastAsia" w:ascii="Arial" w:hAnsi="Arial" w:cs="Arial"/>
        <w:color w:val="008000"/>
        <w:kern w:val="0"/>
        <w:sz w:val="18"/>
        <w:szCs w:val="18"/>
      </w:rPr>
      <w:t>传真：</w:t>
    </w:r>
    <w:r>
      <w:rPr>
        <w:rFonts w:ascii="Arial" w:hAnsi="Arial" w:cs="Arial"/>
        <w:color w:val="008000"/>
        <w:sz w:val="18"/>
        <w:szCs w:val="18"/>
      </w:rPr>
      <w:t>0574-</w:t>
    </w:r>
    <w:r>
      <w:rPr>
        <w:rFonts w:hint="eastAsia" w:ascii="Arial" w:hAnsi="Arial" w:cs="Arial"/>
        <w:color w:val="008000"/>
        <w:sz w:val="18"/>
        <w:szCs w:val="18"/>
      </w:rPr>
      <w:t>88002102  Email：dychem@actmix.cn  网址：</w:t>
    </w:r>
    <w:r>
      <w:rPr>
        <w:rFonts w:ascii="Arial" w:hAnsi="Arial" w:cs="Arial"/>
        <w:color w:val="008000"/>
        <w:kern w:val="0"/>
        <w:sz w:val="18"/>
        <w:szCs w:val="18"/>
      </w:rPr>
      <w:t>www.actmix.</w:t>
    </w:r>
    <w:r>
      <w:rPr>
        <w:rFonts w:hint="eastAsia" w:ascii="Arial" w:hAnsi="Arial" w:cs="Arial"/>
        <w:color w:val="008000"/>
        <w:kern w:val="0"/>
        <w:sz w:val="18"/>
        <w:szCs w:val="18"/>
      </w:rPr>
      <w: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ascii="Arial" w:hAnsi="Arial" w:cs="Arial"/>
        <w:sz w:val="30"/>
        <w:szCs w:val="30"/>
        <w:lang w:val="en-US" w:eastAsia="zh-CN"/>
      </w:rPr>
    </w:pPr>
    <w:r>
      <w:rPr>
        <w:rFonts w:ascii="Arial" w:hAnsi="Arial" w:cs="Arial"/>
        <w:sz w:val="30"/>
        <w:szCs w:val="30"/>
      </w:rPr>
      <w:t>Technical Data Sheet</w:t>
    </w:r>
    <w:r>
      <w:rPr>
        <w:rFonts w:ascii="Arial" w:hAnsi="Arial" w:cs="Arial"/>
        <w:sz w:val="30"/>
        <w:szCs w:val="30"/>
      </w:rPr>
      <w:drawing>
        <wp:anchor distT="0" distB="0" distL="114300" distR="114300" simplePos="0" relativeHeight="1024" behindDoc="0" locked="0" layoutInCell="1" allowOverlap="1">
          <wp:simplePos x="0" y="0"/>
          <wp:positionH relativeFrom="column">
            <wp:posOffset>3093720</wp:posOffset>
          </wp:positionH>
          <wp:positionV relativeFrom="paragraph">
            <wp:posOffset>-310515</wp:posOffset>
          </wp:positionV>
          <wp:extent cx="2305050" cy="657225"/>
          <wp:effectExtent l="0" t="0" r="11430" b="133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2305050" cy="657225"/>
                  </a:xfrm>
                  <a:prstGeom prst="rect">
                    <a:avLst/>
                  </a:prstGeom>
                  <a:noFill/>
                  <a:ln w="9525">
                    <a:noFill/>
                  </a:ln>
                </pic:spPr>
              </pic:pic>
            </a:graphicData>
          </a:graphic>
        </wp:anchor>
      </w:drawing>
    </w:r>
    <w:r>
      <w:rPr>
        <w:rFonts w:hint="eastAsia" w:ascii="Arial" w:hAnsi="Arial" w:cs="Arial"/>
        <w:sz w:val="30"/>
        <w:szCs w:val="30"/>
        <w:lang w:val="en-US" w:eastAsia="zh-CN"/>
      </w:rPr>
      <w:t xml:space="preserve"> </w:t>
    </w:r>
  </w:p>
  <w:p>
    <w:pPr>
      <w:pStyle w:val="4"/>
      <w:pBdr>
        <w:bottom w:val="none" w:color="auto" w:sz="0" w:space="1"/>
      </w:pBdr>
      <w:jc w:val="left"/>
      <w:rPr>
        <w:rFonts w:hint="eastAsia" w:ascii="Arial" w:hAnsi="Arial" w:cs="Arial"/>
        <w:sz w:val="30"/>
        <w:szCs w:val="3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3DF"/>
    <w:rsid w:val="000E5938"/>
    <w:rsid w:val="0024558C"/>
    <w:rsid w:val="0025454F"/>
    <w:rsid w:val="00324E45"/>
    <w:rsid w:val="00681409"/>
    <w:rsid w:val="006D5AEB"/>
    <w:rsid w:val="0073614F"/>
    <w:rsid w:val="007E614D"/>
    <w:rsid w:val="008031FF"/>
    <w:rsid w:val="008A4F1E"/>
    <w:rsid w:val="00900B6B"/>
    <w:rsid w:val="00B418EF"/>
    <w:rsid w:val="00CA0726"/>
    <w:rsid w:val="00D05026"/>
    <w:rsid w:val="00E4764D"/>
    <w:rsid w:val="00E522A4"/>
    <w:rsid w:val="00F7452F"/>
    <w:rsid w:val="00FA206C"/>
    <w:rsid w:val="00FD797D"/>
    <w:rsid w:val="00FE6985"/>
    <w:rsid w:val="043E034A"/>
    <w:rsid w:val="0A623BA0"/>
    <w:rsid w:val="0C155D47"/>
    <w:rsid w:val="15D708B1"/>
    <w:rsid w:val="184734BF"/>
    <w:rsid w:val="1D210235"/>
    <w:rsid w:val="2184267D"/>
    <w:rsid w:val="28072B90"/>
    <w:rsid w:val="2CEE0255"/>
    <w:rsid w:val="2FB67C49"/>
    <w:rsid w:val="356631BB"/>
    <w:rsid w:val="35695FC9"/>
    <w:rsid w:val="39B22608"/>
    <w:rsid w:val="3B31445D"/>
    <w:rsid w:val="3F4D0F75"/>
    <w:rsid w:val="42B34186"/>
    <w:rsid w:val="43825436"/>
    <w:rsid w:val="4383152C"/>
    <w:rsid w:val="468C28DD"/>
    <w:rsid w:val="4A381337"/>
    <w:rsid w:val="4C422A9E"/>
    <w:rsid w:val="4EC72333"/>
    <w:rsid w:val="55F02EDD"/>
    <w:rsid w:val="63DC5385"/>
    <w:rsid w:val="72BE220F"/>
    <w:rsid w:val="753C04F3"/>
    <w:rsid w:val="78771C2C"/>
    <w:rsid w:val="7BCD11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unhideWhenUsed/>
    <w:qFormat/>
    <w:uiPriority w:val="0"/>
    <w:rPr>
      <w:color w:val="0000FF"/>
      <w:u w:val="single"/>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semiHidden/>
    <w:qFormat/>
    <w:uiPriority w:val="0"/>
    <w:rPr>
      <w:rFonts w:ascii="Calibri" w:hAnsi="Calibri"/>
      <w:kern w:val="2"/>
      <w:sz w:val="18"/>
      <w:szCs w:val="18"/>
    </w:rPr>
  </w:style>
  <w:style w:type="character" w:customStyle="1" w:styleId="11">
    <w:name w:val="页脚 Char"/>
    <w:basedOn w:val="7"/>
    <w:link w:val="3"/>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585</Words>
  <Characters>754</Characters>
  <Lines>6</Lines>
  <Paragraphs>1</Paragraphs>
  <TotalTime>7</TotalTime>
  <ScaleCrop>false</ScaleCrop>
  <LinksUpToDate>false</LinksUpToDate>
  <CharactersWithSpaces>807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2015-02-04T02:06:00Z</dcterms:created>
  <dc:creator>dadi</dc:creator>
  <cp:lastModifiedBy>江心秋月白</cp:lastModifiedBy>
  <dcterms:modified xsi:type="dcterms:W3CDTF">2021-03-12T03:11:33Z</dcterms:modified>
  <dc:title> Technical Data Sheet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