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tblInd w:w="0" w:type="dxa"/>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896"/>
        <w:gridCol w:w="89"/>
        <w:gridCol w:w="5217"/>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3597" w:type="dxa"/>
            <w:gridSpan w:val="2"/>
            <w:tcBorders>
              <w:top w:val="single" w:color="000000" w:sz="12" w:space="0"/>
              <w:bottom w:val="single" w:color="000000" w:sz="12" w:space="0"/>
              <w:right w:val="nil"/>
            </w:tcBorders>
            <w:vAlign w:val="center"/>
          </w:tcPr>
          <w:p>
            <w:pPr>
              <w:rPr>
                <w:rFonts w:hint="default" w:ascii="Arial" w:hAnsi="Arial" w:eastAsia="宋体" w:cs="Arial"/>
                <w:b/>
                <w:sz w:val="30"/>
                <w:szCs w:val="30"/>
                <w:lang w:val="en-US" w:eastAsia="zh-CN"/>
              </w:rPr>
            </w:pPr>
            <w:r>
              <w:rPr>
                <w:rFonts w:ascii="Arial" w:hAnsi="Arial" w:cs="Arial"/>
                <w:b/>
                <w:sz w:val="30"/>
                <w:szCs w:val="30"/>
              </w:rPr>
              <w:t>Actmix</w:t>
            </w:r>
            <w:r>
              <w:rPr>
                <w:rFonts w:hint="eastAsia" w:ascii="Arial" w:hAnsi="Arial" w:cs="Arial"/>
                <w:b/>
                <w:sz w:val="30"/>
                <w:szCs w:val="30"/>
                <w:lang w:val="en-US" w:eastAsia="zh-CN"/>
              </w:rPr>
              <w:t xml:space="preserve"> </w:t>
            </w:r>
            <w:r>
              <w:rPr>
                <w:rFonts w:hint="eastAsia" w:ascii="Arial" w:hAnsi="Arial" w:cs="Arial"/>
                <w:b/>
                <w:sz w:val="30"/>
                <w:szCs w:val="30"/>
                <w:vertAlign w:val="baseline"/>
                <w:lang w:val="en-US" w:eastAsia="zh-CN"/>
              </w:rPr>
              <w:t>ZBS-80GE F140</w:t>
            </w:r>
          </w:p>
        </w:tc>
        <w:tc>
          <w:tcPr>
            <w:tcW w:w="5306" w:type="dxa"/>
            <w:gridSpan w:val="2"/>
            <w:tcBorders>
              <w:top w:val="single" w:color="000000" w:sz="12" w:space="0"/>
              <w:left w:val="nil"/>
              <w:bottom w:val="single" w:color="000000" w:sz="12" w:space="0"/>
            </w:tcBorders>
            <w:vAlign w:val="center"/>
          </w:tcPr>
          <w:p>
            <w:pPr>
              <w:rPr>
                <w:rFonts w:hint="eastAsia" w:ascii="Times New Roman" w:hAnsi="Times New Roman" w:eastAsia="宋体"/>
                <w:sz w:val="30"/>
                <w:szCs w:val="30"/>
                <w:lang w:eastAsia="zh-CN"/>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val="en-US" w:eastAsia="zh-CN"/>
              </w:rPr>
              <w:t>发泡活性</w:t>
            </w:r>
            <w:r>
              <w:rPr>
                <w:rFonts w:hint="eastAsia" w:ascii="Times New Roman" w:hAnsi="Times New Roman"/>
                <w:sz w:val="30"/>
                <w:szCs w:val="30"/>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701"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功能</w:t>
            </w:r>
          </w:p>
        </w:tc>
        <w:tc>
          <w:tcPr>
            <w:tcW w:w="7202"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发泡活性</w:t>
            </w:r>
            <w:r>
              <w:rPr>
                <w:rFonts w:hint="eastAsia" w:ascii="Times New Roman" w:hAnsi="Times New Roman" w:eastAsia="宋体"/>
                <w:sz w:val="24"/>
                <w:szCs w:val="24"/>
                <w:lang w:val="en-US" w:eastAsia="zh-CN"/>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1985" w:type="dxa"/>
            <w:gridSpan w:val="2"/>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组成：</w:t>
            </w:r>
          </w:p>
        </w:tc>
        <w:tc>
          <w:tcPr>
            <w:tcW w:w="5217"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Arial" w:hAnsi="Arial" w:cs="Arial"/>
                <w:sz w:val="24"/>
                <w:szCs w:val="24"/>
                <w:lang w:val="en-US" w:eastAsia="zh-CN"/>
              </w:rPr>
              <w:t>80%苯亚磺酸锌和20%预分散</w:t>
            </w:r>
            <w:r>
              <w:rPr>
                <w:rFonts w:hint="eastAsia"/>
                <w:sz w:val="24"/>
                <w:szCs w:val="24"/>
                <w:lang w:val="en-US" w:eastAsia="zh-CN"/>
              </w:rPr>
              <w:t>橡胶载体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外观：</w:t>
            </w:r>
          </w:p>
        </w:tc>
        <w:tc>
          <w:tcPr>
            <w:tcW w:w="521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白色颗粒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 xml:space="preserve">密度（20 </w:t>
            </w:r>
            <w:r>
              <w:rPr>
                <w:rFonts w:ascii="Times New Roman" w:hAnsi="Times New Roman"/>
                <w:sz w:val="24"/>
                <w:szCs w:val="24"/>
              </w:rPr>
              <w:t>°C</w:t>
            </w:r>
            <w:r>
              <w:rPr>
                <w:rFonts w:hint="eastAsia" w:ascii="Times New Roman" w:hAnsi="Times New Roman"/>
                <w:sz w:val="24"/>
                <w:szCs w:val="24"/>
              </w:rPr>
              <w:t>）：</w:t>
            </w:r>
          </w:p>
        </w:tc>
        <w:tc>
          <w:tcPr>
            <w:tcW w:w="521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Arial" w:hAnsi="Arial" w:cs="Arial"/>
                <w:sz w:val="24"/>
                <w:szCs w:val="24"/>
                <w:vertAlign w:val="superscript"/>
              </w:rPr>
            </w:pPr>
            <w:r>
              <w:rPr>
                <w:rFonts w:hint="eastAsia" w:ascii="Arial" w:hAnsi="Arial" w:cs="Arial"/>
                <w:sz w:val="24"/>
                <w:szCs w:val="24"/>
                <w:lang w:val="en-US" w:eastAsia="zh-CN"/>
              </w:rPr>
              <w:t>约1.4</w:t>
            </w:r>
            <w:r>
              <w:rPr>
                <w:rFonts w:ascii="Arial" w:hAnsi="Arial" w:cs="Arial"/>
                <w:sz w:val="24"/>
                <w:szCs w:val="24"/>
              </w:rPr>
              <w:t>g/cm</w:t>
            </w:r>
            <w:r>
              <w:rPr>
                <w:rFonts w:ascii="Arial" w:hAnsi="Arial" w:cs="Arial"/>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01"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安全特性：</w:t>
            </w:r>
          </w:p>
        </w:tc>
        <w:tc>
          <w:tcPr>
            <w:tcW w:w="5217"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1" w:type="dxa"/>
            <w:tcBorders>
              <w:top w:val="single" w:color="000000" w:sz="12" w:space="0"/>
              <w:left w:val="nil"/>
              <w:bottom w:val="single" w:color="000000" w:sz="12" w:space="0"/>
              <w:right w:val="nil"/>
            </w:tcBorders>
            <w:vAlign w:val="center"/>
          </w:tcPr>
          <w:p>
            <w:pPr>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1701" w:type="dxa"/>
            <w:tcBorders>
              <w:top w:val="single" w:color="000000" w:sz="12" w:space="0"/>
              <w:left w:val="nil"/>
              <w:bottom w:val="nil"/>
              <w:right w:val="nil"/>
            </w:tcBorders>
          </w:tcPr>
          <w:p>
            <w:pPr>
              <w:rPr>
                <w:rFonts w:hint="eastAsia" w:ascii="Times New Roman" w:hAnsi="Times New Roman"/>
                <w:sz w:val="24"/>
                <w:szCs w:val="24"/>
                <w:lang w:val="en-US" w:eastAsia="zh-CN"/>
              </w:rPr>
            </w:pPr>
            <w:r>
              <w:rPr>
                <w:rFonts w:hint="eastAsia" w:ascii="Times New Roman" w:hAnsi="Times New Roman"/>
                <w:sz w:val="24"/>
                <w:szCs w:val="24"/>
                <w:lang w:val="en-US" w:eastAsia="zh-CN"/>
              </w:rPr>
              <w:t>用途：</w:t>
            </w:r>
          </w:p>
        </w:tc>
        <w:tc>
          <w:tcPr>
            <w:tcW w:w="7202"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sz w:val="24"/>
                <w:szCs w:val="24"/>
                <w:lang w:val="en-US" w:eastAsia="zh-CN"/>
              </w:rPr>
            </w:pPr>
            <w:r>
              <w:rPr>
                <w:rFonts w:hint="default" w:ascii="Times New Roman" w:hAnsi="Times New Roman"/>
                <w:sz w:val="24"/>
                <w:szCs w:val="24"/>
                <w:lang w:val="en-US" w:eastAsia="zh-CN"/>
              </w:rPr>
              <w:t>Actmix</w:t>
            </w:r>
            <w:r>
              <w:rPr>
                <w:rFonts w:hint="eastAsia" w:ascii="Times New Roman" w:hAnsi="Times New Roman"/>
                <w:sz w:val="24"/>
                <w:szCs w:val="24"/>
                <w:lang w:val="en-US" w:eastAsia="zh-CN"/>
              </w:rPr>
              <w:t xml:space="preserve"> ZBS-80GE F140是</w:t>
            </w:r>
            <w:r>
              <w:rPr>
                <w:rFonts w:hint="default" w:ascii="Times New Roman" w:hAnsi="Times New Roman"/>
                <w:sz w:val="24"/>
                <w:szCs w:val="24"/>
                <w:lang w:val="en-US" w:eastAsia="zh-CN"/>
              </w:rPr>
              <w:t>一种</w:t>
            </w:r>
            <w:r>
              <w:rPr>
                <w:rFonts w:hint="eastAsia" w:ascii="Times New Roman" w:hAnsi="Times New Roman"/>
                <w:sz w:val="24"/>
                <w:szCs w:val="24"/>
                <w:lang w:val="en-US" w:eastAsia="zh-CN"/>
              </w:rPr>
              <w:t>橡胶发泡</w:t>
            </w:r>
            <w:r>
              <w:rPr>
                <w:rFonts w:hint="default" w:ascii="Times New Roman" w:hAnsi="Times New Roman"/>
                <w:sz w:val="24"/>
                <w:szCs w:val="24"/>
                <w:lang w:val="en-US" w:eastAsia="zh-CN"/>
              </w:rPr>
              <w:t>活性</w:t>
            </w:r>
            <w:r>
              <w:rPr>
                <w:rFonts w:hint="eastAsia" w:ascii="Times New Roman" w:hAnsi="Times New Roman"/>
                <w:sz w:val="24"/>
                <w:szCs w:val="24"/>
                <w:lang w:val="en-US" w:eastAsia="zh-CN"/>
              </w:rPr>
              <w:t>剂</w:t>
            </w:r>
            <w:r>
              <w:rPr>
                <w:rFonts w:hint="default" w:ascii="Times New Roman" w:hAnsi="Times New Roman"/>
                <w:sz w:val="24"/>
                <w:szCs w:val="24"/>
                <w:lang w:val="en-US" w:eastAsia="zh-CN"/>
              </w:rPr>
              <w:t>，</w:t>
            </w:r>
            <w:r>
              <w:rPr>
                <w:rFonts w:hint="eastAsia" w:ascii="Times New Roman" w:hAnsi="Times New Roman"/>
                <w:sz w:val="24"/>
                <w:szCs w:val="24"/>
                <w:lang w:val="en-US" w:eastAsia="zh-CN"/>
              </w:rPr>
              <w:t>有助发泡的作用。常与ADC用于海绵发泡，降低发泡剂的分解温度，影响发泡剂的粉剂速度，助发泡剂的粒径越细，对发泡剂的相对有效性越强，这是因为助发泡剂的粒径越小，比表面积越大，与发泡剂接触的面积越大，反应速度越快，可以使发泡剂在较短的时间内获得较高的发气量。</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701" w:type="dxa"/>
            <w:tcBorders>
              <w:top w:val="nil"/>
              <w:left w:val="nil"/>
              <w:bottom w:val="nil"/>
              <w:right w:val="nil"/>
            </w:tcBorders>
            <w:vAlign w:val="center"/>
          </w:tcPr>
          <w:p>
            <w:pPr>
              <w:jc w:val="both"/>
              <w:rPr>
                <w:rFonts w:ascii="Times New Roman" w:hAnsi="Times New Roman"/>
                <w:sz w:val="24"/>
                <w:szCs w:val="24"/>
              </w:rPr>
            </w:pPr>
            <w:r>
              <w:rPr>
                <w:rFonts w:hint="eastAsia" w:ascii="Times New Roman" w:hAnsi="Times New Roman"/>
                <w:sz w:val="24"/>
                <w:szCs w:val="24"/>
              </w:rPr>
              <w:t>用量：</w:t>
            </w:r>
          </w:p>
        </w:tc>
        <w:tc>
          <w:tcPr>
            <w:tcW w:w="7202"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通常情况下1-6phr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701" w:type="dxa"/>
            <w:tcBorders>
              <w:top w:val="single" w:color="000000" w:sz="12" w:space="0"/>
              <w:left w:val="nil"/>
              <w:bottom w:val="nil"/>
              <w:right w:val="nil"/>
            </w:tcBorders>
            <w:vAlign w:val="center"/>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应用</w:t>
            </w:r>
          </w:p>
        </w:tc>
        <w:tc>
          <w:tcPr>
            <w:tcW w:w="7202"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12" w:lineRule="auto"/>
              <w:jc w:val="left"/>
              <w:textAlignment w:val="auto"/>
              <w:rPr>
                <w:rFonts w:hint="eastAsia" w:ascii="Times New Roman" w:hAnsi="Times New Roman" w:eastAsia="宋体"/>
                <w:sz w:val="24"/>
                <w:szCs w:val="24"/>
                <w:lang w:eastAsia="zh-CN"/>
              </w:rPr>
            </w:pPr>
            <w:r>
              <w:rPr>
                <w:rFonts w:hint="eastAsia" w:ascii="Times New Roman" w:hAnsi="Times New Roman"/>
                <w:sz w:val="24"/>
                <w:szCs w:val="24"/>
              </w:rPr>
              <w:t>用于</w:t>
            </w:r>
            <w:r>
              <w:rPr>
                <w:rFonts w:hint="eastAsia" w:ascii="Times New Roman" w:hAnsi="Times New Roman"/>
                <w:sz w:val="24"/>
                <w:szCs w:val="24"/>
                <w:lang w:val="en-US" w:eastAsia="zh-CN"/>
              </w:rPr>
              <w:t>EPDM</w:t>
            </w:r>
            <w:r>
              <w:rPr>
                <w:rFonts w:hint="eastAsia" w:ascii="Times New Roman" w:hAnsi="Times New Roman"/>
                <w:sz w:val="24"/>
                <w:szCs w:val="24"/>
                <w:lang w:eastAsia="zh-CN"/>
              </w:rPr>
              <w:t>、</w:t>
            </w:r>
            <w:r>
              <w:rPr>
                <w:rFonts w:hint="eastAsia" w:ascii="Times New Roman" w:hAnsi="Times New Roman"/>
                <w:sz w:val="24"/>
                <w:szCs w:val="24"/>
                <w:lang w:val="en-US" w:eastAsia="zh-CN"/>
              </w:rPr>
              <w:t>CR等海绵发泡</w:t>
            </w:r>
            <w:r>
              <w:rPr>
                <w:rFonts w:hint="eastAsia" w:ascii="Times New Roman" w:hAnsi="Times New Roman"/>
                <w:sz w:val="24"/>
                <w:szCs w:val="24"/>
              </w:rPr>
              <w:t>胶料，如</w:t>
            </w:r>
            <w:r>
              <w:rPr>
                <w:rFonts w:hint="eastAsia" w:ascii="Times New Roman" w:hAnsi="Times New Roman"/>
                <w:sz w:val="24"/>
                <w:szCs w:val="24"/>
                <w:lang w:eastAsia="zh-CN"/>
              </w:rPr>
              <w:t>密封条</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701"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包装：</w:t>
            </w:r>
          </w:p>
        </w:tc>
        <w:tc>
          <w:tcPr>
            <w:tcW w:w="7202"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ascii="Times New Roman" w:hAnsi="Times New Roman"/>
                <w:sz w:val="24"/>
                <w:szCs w:val="24"/>
              </w:rPr>
              <w:t>内衬PE袋的纸箱，每箱净重25KG；600公斤/托盘。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储存稳定性：</w:t>
            </w:r>
          </w:p>
        </w:tc>
        <w:tc>
          <w:tcPr>
            <w:tcW w:w="7202"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密封储存在阴凉、干燥、通风良好的地方，建议产品保存期限为</w:t>
            </w:r>
            <w:r>
              <w:rPr>
                <w:rFonts w:hint="eastAsia" w:ascii="Times New Roman" w:hAnsi="Times New Roman"/>
                <w:sz w:val="24"/>
                <w:szCs w:val="24"/>
                <w:lang w:val="en-US" w:eastAsia="zh-CN"/>
              </w:rPr>
              <w:t>一</w:t>
            </w:r>
            <w:r>
              <w:rPr>
                <w:rFonts w:hint="eastAsia" w:ascii="Times New Roman" w:hAnsi="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701"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7202" w:type="dxa"/>
            <w:gridSpan w:val="3"/>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在橡胶加工过程中化学添加剂的工作区域建议抽风排气，更进一步的处置资料请参考</w:t>
            </w:r>
            <w:r>
              <w:rPr>
                <w:rFonts w:hint="default" w:ascii="Times New Roman" w:hAnsi="Times New Roman"/>
                <w:sz w:val="24"/>
                <w:szCs w:val="24"/>
                <w:lang w:val="en-US" w:eastAsia="zh-CN"/>
              </w:rPr>
              <w:t>Actmix</w:t>
            </w:r>
            <w:r>
              <w:rPr>
                <w:rFonts w:hint="eastAsia" w:ascii="Times New Roman" w:hAnsi="Times New Roman"/>
                <w:sz w:val="24"/>
                <w:szCs w:val="24"/>
                <w:lang w:val="en-US" w:eastAsia="zh-CN"/>
              </w:rPr>
              <w:t xml:space="preserve"> ZBS-80GE F140</w:t>
            </w:r>
            <w:r>
              <w:rPr>
                <w:rFonts w:hint="eastAsia" w:ascii="Times New Roman" w:hAnsi="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8903" w:type="dxa"/>
            <w:gridSpan w:val="4"/>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lang w:eastAsia="zh-CN"/>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03" w:type="dxa"/>
            <w:gridSpan w:val="4"/>
            <w:tcBorders>
              <w:top w:val="nil"/>
              <w:left w:val="nil"/>
              <w:bottom w:val="nil"/>
              <w:right w:val="nil"/>
            </w:tcBorders>
            <w:shd w:val="clear" w:color="auto" w:fill="00CC00"/>
            <w:vAlign w:val="center"/>
          </w:tcPr>
          <w:p>
            <w:pPr>
              <w:rPr>
                <w:rFonts w:ascii="Arial" w:hAnsi="Arial" w:cs="Arial"/>
                <w:b/>
                <w:bCs/>
                <w:color w:val="FFFFFF"/>
                <w:sz w:val="24"/>
                <w:szCs w:val="24"/>
              </w:rPr>
            </w:pPr>
            <w:r>
              <w:rPr>
                <w:rFonts w:ascii="Arial" w:hAnsi="Arial" w:cs="Arial"/>
                <w:b/>
                <w:bCs/>
                <w:color w:val="FFFFFF"/>
                <w:sz w:val="24"/>
                <w:szCs w:val="24"/>
              </w:rPr>
              <w:t>Actmix</w:t>
            </w:r>
            <w:r>
              <w:rPr>
                <w:rFonts w:hint="eastAsia" w:ascii="Arial" w:hAnsi="Arial" w:cs="Arial"/>
                <w:b/>
                <w:bCs/>
                <w:color w:val="FFFFFF"/>
                <w:sz w:val="24"/>
                <w:szCs w:val="24"/>
                <w:lang w:val="en-US" w:eastAsia="zh-CN"/>
              </w:rPr>
              <w:t xml:space="preserve">  ZBS-80GE F140</w:t>
            </w:r>
            <w:bookmarkStart w:id="0" w:name="_GoBack"/>
            <w:bookmarkEnd w:id="0"/>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ACT67</w:t>
      </w:r>
    </w:p>
    <w:sectPr>
      <w:headerReference r:id="rId3" w:type="default"/>
      <w:footerReference r:id="rId4" w:type="default"/>
      <w:pgSz w:w="11906" w:h="16838"/>
      <w:pgMar w:top="1440" w:right="1800" w:bottom="1440" w:left="1800" w:header="1134" w:footer="116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15D708B1"/>
    <w:rsid w:val="184734BF"/>
    <w:rsid w:val="191D7553"/>
    <w:rsid w:val="1D210235"/>
    <w:rsid w:val="2184267D"/>
    <w:rsid w:val="28072B90"/>
    <w:rsid w:val="28FE4AB7"/>
    <w:rsid w:val="2FB67C49"/>
    <w:rsid w:val="356631BB"/>
    <w:rsid w:val="35695FC9"/>
    <w:rsid w:val="39B22608"/>
    <w:rsid w:val="3A7F66CE"/>
    <w:rsid w:val="3B31445D"/>
    <w:rsid w:val="3F4D0F75"/>
    <w:rsid w:val="43825436"/>
    <w:rsid w:val="4383152C"/>
    <w:rsid w:val="468C28DD"/>
    <w:rsid w:val="4A381337"/>
    <w:rsid w:val="4C422A9E"/>
    <w:rsid w:val="4EC72333"/>
    <w:rsid w:val="55F02EDD"/>
    <w:rsid w:val="57A7166A"/>
    <w:rsid w:val="5D31696F"/>
    <w:rsid w:val="72BE220F"/>
    <w:rsid w:val="753C04F3"/>
    <w:rsid w:val="78771C2C"/>
    <w:rsid w:val="7BCD11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585</Words>
  <Characters>754</Characters>
  <Lines>6</Lines>
  <Paragraphs>1</Paragraphs>
  <TotalTime>24</TotalTime>
  <ScaleCrop>false</ScaleCrop>
  <LinksUpToDate>false</LinksUpToDate>
  <CharactersWithSpaces>807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2021-03-12T05:46:46Z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