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514"/>
        <w:tblOverlap w:val="never"/>
        <w:tblW w:w="8903" w:type="dxa"/>
        <w:jc w:val="center"/>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4"/>
        <w:gridCol w:w="1239"/>
        <w:gridCol w:w="669"/>
        <w:gridCol w:w="5051"/>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3183" w:type="dxa"/>
            <w:gridSpan w:val="2"/>
            <w:tcBorders>
              <w:top w:val="single" w:color="000000" w:sz="12" w:space="0"/>
              <w:bottom w:val="single" w:color="000000" w:sz="12" w:space="0"/>
              <w:right w:val="nil"/>
            </w:tcBorders>
            <w:vAlign w:val="center"/>
          </w:tcPr>
          <w:p>
            <w:pPr>
              <w:rPr>
                <w:rFonts w:hint="default" w:ascii="Arial" w:hAnsi="Arial" w:eastAsia="宋体" w:cs="Arial"/>
                <w:b/>
                <w:sz w:val="30"/>
                <w:szCs w:val="30"/>
                <w:lang w:val="en-US" w:eastAsia="zh-CN"/>
              </w:rPr>
            </w:pPr>
            <w:r>
              <w:rPr>
                <w:rFonts w:ascii="Arial" w:hAnsi="Arial" w:cs="Arial"/>
                <w:b/>
                <w:sz w:val="30"/>
                <w:szCs w:val="30"/>
              </w:rPr>
              <w:t>Actmix</w:t>
            </w:r>
            <w:r>
              <w:rPr>
                <w:rFonts w:hint="eastAsia" w:ascii="Arial" w:hAnsi="Arial" w:cs="Arial"/>
                <w:b/>
                <w:sz w:val="30"/>
                <w:szCs w:val="30"/>
                <w:vertAlign w:val="superscript"/>
                <w:lang w:val="en-US" w:eastAsia="zh-CN"/>
              </w:rPr>
              <w:t xml:space="preserve"> </w:t>
            </w:r>
            <w:r>
              <w:rPr>
                <w:rFonts w:hint="eastAsia" w:ascii="Arial" w:hAnsi="Arial" w:cs="Arial"/>
                <w:b/>
                <w:sz w:val="30"/>
                <w:szCs w:val="30"/>
                <w:lang w:val="en-US" w:eastAsia="zh-CN"/>
              </w:rPr>
              <w:t>LFC/PE</w:t>
            </w:r>
          </w:p>
        </w:tc>
        <w:tc>
          <w:tcPr>
            <w:tcW w:w="5720" w:type="dxa"/>
            <w:gridSpan w:val="2"/>
            <w:tcBorders>
              <w:top w:val="single" w:color="000000" w:sz="12" w:space="0"/>
              <w:left w:val="nil"/>
              <w:bottom w:val="single" w:color="000000" w:sz="12" w:space="0"/>
            </w:tcBorders>
            <w:vAlign w:val="center"/>
          </w:tcPr>
          <w:p>
            <w:pPr>
              <w:rPr>
                <w:rFonts w:ascii="Times New Roman" w:hAnsi="Times New Roman"/>
                <w:sz w:val="30"/>
                <w:szCs w:val="30"/>
              </w:rPr>
            </w:pPr>
            <w:r>
              <w:rPr>
                <w:rFonts w:hint="eastAsia" w:ascii="Times New Roman" w:hAnsi="Times New Roman"/>
                <w:sz w:val="30"/>
                <w:szCs w:val="30"/>
              </w:rPr>
              <w:t xml:space="preserve">   </w:t>
            </w:r>
            <w:r>
              <w:rPr>
                <w:rFonts w:hint="eastAsia" w:ascii="Times New Roman" w:hAnsi="Times New Roman"/>
                <w:sz w:val="30"/>
                <w:szCs w:val="30"/>
                <w:lang w:val="en-US" w:eastAsia="zh-CN"/>
              </w:rPr>
              <w:t xml:space="preserve">               </w:t>
            </w:r>
            <w:r>
              <w:rPr>
                <w:rFonts w:hint="eastAsia" w:ascii="Times New Roman" w:hAnsi="Times New Roman"/>
                <w:sz w:val="30"/>
                <w:szCs w:val="30"/>
              </w:rPr>
              <w:t>预分散橡胶</w:t>
            </w:r>
            <w:r>
              <w:rPr>
                <w:rFonts w:hint="eastAsia" w:ascii="Times New Roman" w:hAnsi="Times New Roman"/>
                <w:sz w:val="30"/>
                <w:szCs w:val="30"/>
                <w:lang w:eastAsia="zh-CN"/>
              </w:rPr>
              <w:t>发泡</w:t>
            </w:r>
            <w:r>
              <w:rPr>
                <w:rFonts w:hint="eastAsia" w:ascii="Times New Roman" w:hAnsi="Times New Roman"/>
                <w:sz w:val="30"/>
                <w:szCs w:val="30"/>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944" w:type="dxa"/>
            <w:tcBorders>
              <w:top w:val="single" w:color="000000" w:sz="12" w:space="0"/>
              <w:left w:val="nil"/>
              <w:bottom w:val="single" w:color="000000" w:sz="12" w:space="0"/>
              <w:right w:val="nil"/>
            </w:tcBorders>
            <w:vAlign w:val="center"/>
          </w:tcPr>
          <w:p>
            <w:pPr>
              <w:rPr>
                <w:rFonts w:ascii="Times New Roman" w:hAnsi="Times New Roman"/>
                <w:b/>
                <w:sz w:val="24"/>
                <w:szCs w:val="24"/>
              </w:rPr>
            </w:pPr>
            <w:r>
              <w:rPr>
                <w:rFonts w:hint="eastAsia" w:ascii="Times New Roman" w:hAnsi="Times New Roman"/>
                <w:b/>
                <w:sz w:val="24"/>
                <w:szCs w:val="24"/>
              </w:rPr>
              <w:t>功能</w:t>
            </w:r>
          </w:p>
        </w:tc>
        <w:tc>
          <w:tcPr>
            <w:tcW w:w="6959" w:type="dxa"/>
            <w:gridSpan w:val="3"/>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ascii="Times New Roman" w:hAnsi="Times New Roman"/>
                <w:sz w:val="24"/>
                <w:szCs w:val="24"/>
              </w:rPr>
            </w:pPr>
            <w:r>
              <w:rPr>
                <w:rFonts w:hint="eastAsia" w:ascii="Times New Roman" w:hAnsi="Times New Roman"/>
                <w:sz w:val="24"/>
                <w:szCs w:val="24"/>
                <w:lang w:eastAsia="zh-CN"/>
              </w:rPr>
              <w:t>橡胶发泡</w:t>
            </w:r>
            <w:r>
              <w:rPr>
                <w:rFonts w:hint="eastAsia" w:ascii="Times New Roman" w:hAnsi="Times New Roman"/>
                <w:sz w:val="24"/>
                <w:szCs w:val="24"/>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944" w:type="dxa"/>
            <w:vMerge w:val="restart"/>
            <w:tcBorders>
              <w:top w:val="single" w:color="000000" w:sz="12" w:space="0"/>
              <w:left w:val="nil"/>
              <w:bottom w:val="single" w:color="000000" w:sz="4" w:space="0"/>
              <w:right w:val="nil"/>
            </w:tcBorders>
          </w:tcPr>
          <w:p>
            <w:pPr>
              <w:rPr>
                <w:rFonts w:ascii="Times New Roman" w:hAnsi="Times New Roman"/>
                <w:b/>
                <w:sz w:val="24"/>
                <w:szCs w:val="24"/>
              </w:rPr>
            </w:pPr>
            <w:r>
              <w:rPr>
                <w:rFonts w:hint="eastAsia" w:ascii="Times New Roman" w:hAnsi="Times New Roman"/>
                <w:b/>
                <w:sz w:val="24"/>
                <w:szCs w:val="24"/>
              </w:rPr>
              <w:t>产品说明</w:t>
            </w:r>
          </w:p>
        </w:tc>
        <w:tc>
          <w:tcPr>
            <w:tcW w:w="1908" w:type="dxa"/>
            <w:gridSpan w:val="2"/>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组成：</w:t>
            </w:r>
          </w:p>
        </w:tc>
        <w:tc>
          <w:tcPr>
            <w:tcW w:w="5051"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75</w:t>
            </w:r>
            <w:r>
              <w:rPr>
                <w:rFonts w:hint="default" w:ascii="Times New Roman" w:hAnsi="Times New Roman" w:cs="Times New Roman"/>
                <w:sz w:val="24"/>
                <w:szCs w:val="24"/>
              </w:rPr>
              <w:t>%的</w:t>
            </w:r>
            <w:r>
              <w:rPr>
                <w:rFonts w:hint="default" w:ascii="Times New Roman" w:hAnsi="Times New Roman" w:cs="Times New Roman"/>
                <w:sz w:val="24"/>
                <w:szCs w:val="24"/>
                <w:lang w:eastAsia="zh-CN"/>
              </w:rPr>
              <w:t>碳酸氢钠及</w:t>
            </w:r>
            <w:r>
              <w:rPr>
                <w:rFonts w:hint="default" w:ascii="Times New Roman" w:hAnsi="Times New Roman" w:cs="Times New Roman"/>
                <w:sz w:val="24"/>
                <w:szCs w:val="24"/>
                <w:lang w:val="en-US" w:eastAsia="zh-CN"/>
              </w:rPr>
              <w:t>25</w:t>
            </w:r>
            <w:r>
              <w:rPr>
                <w:rFonts w:hint="default" w:ascii="Times New Roman" w:hAnsi="Times New Roman" w:cs="Times New Roman"/>
                <w:sz w:val="24"/>
                <w:szCs w:val="24"/>
              </w:rPr>
              <w:t>%橡胶载体</w:t>
            </w:r>
            <w:r>
              <w:rPr>
                <w:rFonts w:hint="default" w:ascii="Times New Roman" w:hAnsi="Times New Roman" w:cs="Times New Roman"/>
                <w:sz w:val="24"/>
                <w:szCs w:val="24"/>
                <w:lang w:eastAsia="zh-CN"/>
              </w:rPr>
              <w:t>和</w:t>
            </w:r>
            <w:r>
              <w:rPr>
                <w:rFonts w:hint="default" w:ascii="Times New Roman" w:hAnsi="Times New Roman" w:cs="Times New Roman"/>
                <w:sz w:val="24"/>
                <w:szCs w:val="24"/>
              </w:rPr>
              <w:t>分散剂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944"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外观：</w:t>
            </w:r>
          </w:p>
        </w:tc>
        <w:tc>
          <w:tcPr>
            <w:tcW w:w="505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白色片状</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944"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t>密度（20 °C）：</w:t>
            </w:r>
          </w:p>
        </w:tc>
        <w:tc>
          <w:tcPr>
            <w:tcW w:w="505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cs="Times New Roman"/>
                <w:color w:val="000000" w:themeColor="text1"/>
                <w:sz w:val="24"/>
                <w:szCs w:val="24"/>
                <w:vertAlign w:val="superscript"/>
              </w:rPr>
            </w:pPr>
            <w:r>
              <w:rPr>
                <w:rFonts w:hint="default" w:ascii="Times New Roman" w:hAnsi="Times New Roman" w:cs="Times New Roman"/>
                <w:color w:val="000000" w:themeColor="text1"/>
                <w:sz w:val="24"/>
                <w:szCs w:val="24"/>
              </w:rPr>
              <w:t>约</w:t>
            </w:r>
            <w:r>
              <w:rPr>
                <w:rFonts w:hint="default" w:ascii="Times New Roman" w:hAnsi="Times New Roman" w:cs="Times New Roman"/>
                <w:color w:val="000000" w:themeColor="text1"/>
                <w:sz w:val="24"/>
                <w:szCs w:val="24"/>
                <w:highlight w:val="none"/>
                <w:lang w:val="en-US" w:eastAsia="zh-CN"/>
              </w:rPr>
              <w:t>1.45</w:t>
            </w:r>
            <w:r>
              <w:rPr>
                <w:rFonts w:hint="default" w:ascii="Times New Roman" w:hAnsi="Times New Roman" w:cs="Times New Roman"/>
                <w:color w:val="000000" w:themeColor="text1"/>
                <w:sz w:val="24"/>
                <w:szCs w:val="24"/>
              </w:rPr>
              <w:t>g/cm</w:t>
            </w:r>
            <w:r>
              <w:rPr>
                <w:rFonts w:hint="default" w:ascii="Times New Roman" w:hAnsi="Times New Roman" w:cs="Times New Roman"/>
                <w:color w:val="000000" w:themeColor="text1"/>
                <w:sz w:val="24"/>
                <w:szCs w:val="24"/>
                <w:vertAlign w:val="superscript"/>
              </w:rPr>
              <w:t>3</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44"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eastAsia="宋体" w:cs="Times New Roman"/>
                <w:color w:val="000000" w:themeColor="text1"/>
                <w:sz w:val="24"/>
                <w:szCs w:val="24"/>
                <w:lang w:eastAsia="zh-CN"/>
              </w:rPr>
            </w:pPr>
            <w:r>
              <w:rPr>
                <w:rFonts w:hint="default" w:ascii="Times New Roman" w:hAnsi="Times New Roman" w:cs="Times New Roman"/>
                <w:color w:val="000000" w:themeColor="text1"/>
                <w:sz w:val="24"/>
                <w:szCs w:val="24"/>
                <w:lang w:eastAsia="zh-CN"/>
              </w:rPr>
              <w:t>最佳发泡温度</w:t>
            </w:r>
          </w:p>
        </w:tc>
        <w:tc>
          <w:tcPr>
            <w:tcW w:w="505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cs="Times New Roman"/>
                <w:color w:val="auto"/>
                <w:sz w:val="24"/>
                <w:szCs w:val="24"/>
                <w:highlight w:val="none"/>
                <w:lang w:val="en-US" w:eastAsia="zh-CN"/>
              </w:rPr>
              <w:t>130-180</w:t>
            </w:r>
            <w:r>
              <w:rPr>
                <w:rFonts w:hint="default" w:ascii="Times New Roman" w:hAnsi="Times New Roman" w:cs="Times New Roman"/>
                <w:color w:val="auto"/>
                <w:sz w:val="24"/>
                <w:szCs w:val="24"/>
                <w:highlight w:val="none"/>
                <w:lang w:eastAsia="zh-CN"/>
              </w:rPr>
              <w:t>℃</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944" w:type="dxa"/>
            <w:vMerge w:val="continue"/>
            <w:tcBorders>
              <w:top w:val="single" w:color="000000" w:sz="4" w:space="0"/>
              <w:left w:val="nil"/>
              <w:bottom w:val="single" w:color="000000" w:sz="12" w:space="0"/>
              <w:right w:val="nil"/>
            </w:tcBorders>
            <w:vAlign w:val="center"/>
          </w:tcPr>
          <w:p>
            <w:pPr>
              <w:spacing w:beforeLines="100" w:afterLines="50"/>
              <w:rPr>
                <w:rFonts w:ascii="Times New Roman" w:hAnsi="Times New Roman"/>
                <w:b/>
                <w:sz w:val="24"/>
                <w:szCs w:val="24"/>
              </w:rPr>
            </w:pPr>
          </w:p>
        </w:tc>
        <w:tc>
          <w:tcPr>
            <w:tcW w:w="1908" w:type="dxa"/>
            <w:gridSpan w:val="2"/>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安全特性：</w:t>
            </w:r>
          </w:p>
        </w:tc>
        <w:tc>
          <w:tcPr>
            <w:tcW w:w="5051"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参照安全数据表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44" w:type="dxa"/>
            <w:tcBorders>
              <w:top w:val="single" w:color="000000" w:sz="12" w:space="0"/>
              <w:left w:val="nil"/>
              <w:bottom w:val="single" w:color="000000" w:sz="12" w:space="0"/>
              <w:right w:val="nil"/>
            </w:tcBorders>
            <w:vAlign w:val="center"/>
          </w:tcPr>
          <w:p>
            <w:pPr>
              <w:rPr>
                <w:rFonts w:ascii="Times New Roman" w:hAnsi="Times New Roman"/>
                <w:b/>
                <w:sz w:val="24"/>
                <w:szCs w:val="24"/>
              </w:rPr>
            </w:pPr>
            <w:r>
              <w:rPr>
                <w:rFonts w:hint="eastAsia" w:ascii="Times New Roman" w:hAnsi="Times New Roman"/>
                <w:b/>
                <w:sz w:val="24"/>
                <w:szCs w:val="24"/>
              </w:rPr>
              <w:t>应用资料</w:t>
            </w:r>
          </w:p>
        </w:tc>
        <w:tc>
          <w:tcPr>
            <w:tcW w:w="6959" w:type="dxa"/>
            <w:gridSpan w:val="3"/>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ascii="Times New Roman" w:hAnsi="Times New Roman"/>
                <w:sz w:val="24"/>
                <w:szCs w:val="24"/>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single" w:color="000000" w:sz="12" w:space="0"/>
              <w:left w:val="nil"/>
              <w:bottom w:val="nil"/>
              <w:right w:val="nil"/>
            </w:tcBorders>
          </w:tcPr>
          <w:p>
            <w:pPr>
              <w:rPr>
                <w:rFonts w:ascii="Times New Roman" w:hAnsi="Times New Roman"/>
                <w:sz w:val="24"/>
                <w:szCs w:val="24"/>
              </w:rPr>
            </w:pPr>
            <w:r>
              <w:rPr>
                <w:rFonts w:hint="eastAsia" w:ascii="Times New Roman" w:hAnsi="Times New Roman"/>
                <w:sz w:val="24"/>
                <w:szCs w:val="24"/>
              </w:rPr>
              <w:t>用途：</w:t>
            </w:r>
          </w:p>
        </w:tc>
        <w:tc>
          <w:tcPr>
            <w:tcW w:w="6959"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bCs/>
                <w:color w:val="auto"/>
                <w:sz w:val="24"/>
                <w:szCs w:val="24"/>
              </w:rPr>
              <w:t>Actmix</w:t>
            </w:r>
            <w:r>
              <w:rPr>
                <w:rFonts w:hint="default" w:ascii="Times New Roman" w:hAnsi="Times New Roman" w:cs="Times New Roman"/>
                <w:bCs/>
                <w:color w:val="auto"/>
                <w:sz w:val="24"/>
                <w:szCs w:val="24"/>
                <w:vertAlign w:val="superscript"/>
                <w:lang w:val="en-US" w:eastAsia="zh-CN"/>
              </w:rPr>
              <w:t xml:space="preserve"> </w:t>
            </w:r>
            <w:r>
              <w:rPr>
                <w:rFonts w:hint="default" w:ascii="Times New Roman" w:hAnsi="Times New Roman" w:eastAsia="宋体" w:cs="Times New Roman"/>
                <w:color w:val="auto"/>
                <w:sz w:val="24"/>
                <w:szCs w:val="24"/>
                <w:lang w:val="en-US" w:eastAsia="zh-CN"/>
              </w:rPr>
              <w:t>LFC/PE</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为无机发泡剂。</w:t>
            </w:r>
            <w:r>
              <w:rPr>
                <w:rFonts w:hint="default" w:ascii="Times New Roman" w:hAnsi="Times New Roman" w:cs="Times New Roman"/>
                <w:color w:val="auto"/>
                <w:sz w:val="24"/>
                <w:szCs w:val="24"/>
                <w:lang w:val="en-US" w:eastAsia="zh-CN"/>
              </w:rPr>
              <w:t>具有</w:t>
            </w:r>
            <w:r>
              <w:rPr>
                <w:rFonts w:hint="default" w:ascii="Times New Roman" w:hAnsi="Times New Roman" w:eastAsia="宋体" w:cs="Times New Roman"/>
                <w:i w:val="0"/>
                <w:caps w:val="0"/>
                <w:color w:val="auto"/>
                <w:spacing w:val="0"/>
                <w:sz w:val="24"/>
                <w:szCs w:val="24"/>
                <w:shd w:val="clear" w:fill="FFFFFF"/>
              </w:rPr>
              <w:t>安全、吸热分解、成核效果好等优点，产生的气体为CO</w:t>
            </w:r>
            <w:r>
              <w:rPr>
                <w:rFonts w:hint="default" w:ascii="Times New Roman" w:hAnsi="Times New Roman" w:eastAsia="宋体" w:cs="Times New Roman"/>
                <w:i w:val="0"/>
                <w:caps w:val="0"/>
                <w:color w:val="auto"/>
                <w:spacing w:val="0"/>
                <w:sz w:val="24"/>
                <w:szCs w:val="24"/>
                <w:shd w:val="clear" w:fill="FFFFFF"/>
                <w:vertAlign w:val="subscript"/>
              </w:rPr>
              <w:t>2</w:t>
            </w:r>
            <w:r>
              <w:rPr>
                <w:rFonts w:hint="default" w:ascii="Times New Roman" w:hAnsi="Times New Roman" w:cs="Times New Roman"/>
                <w:i w:val="0"/>
                <w:caps w:val="0"/>
                <w:color w:val="auto"/>
                <w:spacing w:val="0"/>
                <w:sz w:val="24"/>
                <w:szCs w:val="24"/>
                <w:shd w:val="clear" w:fill="FFFFFF"/>
                <w:lang w:eastAsia="zh-CN"/>
              </w:rPr>
              <w:t>，环保无污染</w:t>
            </w:r>
            <w:r>
              <w:rPr>
                <w:rFonts w:hint="default" w:ascii="Times New Roman" w:hAnsi="Times New Roman" w:eastAsia="宋体" w:cs="Times New Roman"/>
                <w:i w:val="0"/>
                <w:caps w:val="0"/>
                <w:color w:val="auto"/>
                <w:spacing w:val="0"/>
                <w:sz w:val="24"/>
                <w:szCs w:val="24"/>
                <w:shd w:val="clear" w:fill="FFFFFF"/>
              </w:rPr>
              <w:t>。</w:t>
            </w:r>
            <w:r>
              <w:rPr>
                <w:rFonts w:hint="default" w:ascii="Times New Roman" w:hAnsi="Times New Roman" w:eastAsia="宋体" w:cs="Times New Roman"/>
                <w:i w:val="0"/>
                <w:caps w:val="0"/>
                <w:color w:val="auto"/>
                <w:spacing w:val="0"/>
                <w:sz w:val="24"/>
                <w:szCs w:val="24"/>
                <w:shd w:val="clear" w:fill="FFFFFF"/>
                <w:lang w:eastAsia="zh-CN"/>
              </w:rPr>
              <w:t>海绵制品多为开孔结构，孔径细小、均</w:t>
            </w:r>
            <w:r>
              <w:rPr>
                <w:rFonts w:hint="default" w:ascii="Times New Roman" w:hAnsi="Times New Roman" w:cs="Times New Roman"/>
                <w:i w:val="0"/>
                <w:caps w:val="0"/>
                <w:color w:val="auto"/>
                <w:spacing w:val="0"/>
                <w:sz w:val="24"/>
                <w:szCs w:val="24"/>
                <w:shd w:val="clear" w:fill="FFFFFF"/>
                <w:lang w:eastAsia="zh-CN"/>
              </w:rPr>
              <w:t>一</w:t>
            </w:r>
            <w:r>
              <w:rPr>
                <w:rFonts w:hint="default" w:ascii="Times New Roman" w:hAnsi="Times New Roman" w:cs="Times New Roman"/>
                <w:i w:val="0"/>
                <w:caps w:val="0"/>
                <w:color w:val="auto"/>
                <w:spacing w:val="0"/>
                <w:sz w:val="24"/>
                <w:szCs w:val="24"/>
                <w:shd w:val="clear" w:fill="FFFFFF"/>
                <w:lang w:val="en-US" w:eastAsia="zh-CN"/>
              </w:rPr>
              <w:t>。适用</w:t>
            </w:r>
            <w:r>
              <w:rPr>
                <w:rFonts w:hint="default" w:ascii="Times New Roman" w:hAnsi="Times New Roman" w:eastAsia="宋体" w:cs="Times New Roman"/>
                <w:i w:val="0"/>
                <w:caps w:val="0"/>
                <w:color w:val="auto"/>
                <w:spacing w:val="0"/>
                <w:sz w:val="24"/>
                <w:szCs w:val="24"/>
                <w:shd w:val="clear" w:fill="FFFFFF"/>
                <w:lang w:val="en-US" w:eastAsia="zh-CN"/>
              </w:rPr>
              <w:t>NR、CR、SBR、BR、NBR、EPDM等。</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nil"/>
              <w:left w:val="nil"/>
              <w:bottom w:val="nil"/>
              <w:right w:val="nil"/>
            </w:tcBorders>
          </w:tcPr>
          <w:p>
            <w:pPr>
              <w:rPr>
                <w:rFonts w:ascii="Times New Roman" w:hAnsi="Times New Roman"/>
                <w:sz w:val="24"/>
                <w:szCs w:val="24"/>
              </w:rPr>
            </w:pPr>
            <w:r>
              <w:rPr>
                <w:rFonts w:hint="eastAsia" w:ascii="Times New Roman" w:hAnsi="Times New Roman"/>
                <w:sz w:val="24"/>
                <w:szCs w:val="24"/>
              </w:rPr>
              <w:t>用量：</w:t>
            </w:r>
          </w:p>
        </w:tc>
        <w:tc>
          <w:tcPr>
            <w:tcW w:w="6959"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textAlignment w:val="auto"/>
              <w:rPr>
                <w:rFonts w:hint="default" w:ascii="Times New Roman" w:hAnsi="Times New Roman" w:cs="Times New Roman"/>
                <w:sz w:val="24"/>
                <w:szCs w:val="24"/>
              </w:rPr>
            </w:pP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15.0</w:t>
            </w:r>
            <w:r>
              <w:rPr>
                <w:rFonts w:hint="default" w:ascii="Times New Roman" w:hAnsi="Times New Roman" w:cs="Times New Roman"/>
                <w:color w:val="auto"/>
                <w:sz w:val="24"/>
                <w:szCs w:val="24"/>
                <w:highlight w:val="none"/>
              </w:rPr>
              <w:t>phr</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single" w:color="000000" w:sz="12" w:space="0"/>
              <w:left w:val="nil"/>
              <w:bottom w:val="nil"/>
              <w:right w:val="nil"/>
            </w:tcBorders>
            <w:vAlign w:val="center"/>
          </w:tcPr>
          <w:p>
            <w:pPr>
              <w:rPr>
                <w:rFonts w:ascii="Times New Roman" w:hAnsi="Times New Roman"/>
                <w:sz w:val="24"/>
                <w:szCs w:val="24"/>
              </w:rPr>
            </w:pPr>
            <w:r>
              <w:rPr>
                <w:rFonts w:hint="eastAsia" w:ascii="Times New Roman" w:hAnsi="Times New Roman"/>
                <w:sz w:val="24"/>
                <w:szCs w:val="24"/>
              </w:rPr>
              <w:t>应用</w:t>
            </w:r>
          </w:p>
        </w:tc>
        <w:tc>
          <w:tcPr>
            <w:tcW w:w="6959"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适用于所有发泡或发泡橡胶制品中</w:t>
            </w:r>
            <w:r>
              <w:rPr>
                <w:rFonts w:hint="default" w:ascii="Times New Roman" w:hAnsi="Times New Roman" w:cs="Times New Roman"/>
                <w:sz w:val="24"/>
                <w:szCs w:val="24"/>
              </w:rPr>
              <w:t>。</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single" w:color="000000" w:sz="12" w:space="0"/>
              <w:left w:val="nil"/>
              <w:bottom w:val="nil"/>
              <w:right w:val="nil"/>
            </w:tcBorders>
            <w:vAlign w:val="center"/>
          </w:tcPr>
          <w:p>
            <w:pPr>
              <w:spacing w:line="360" w:lineRule="auto"/>
              <w:rPr>
                <w:rFonts w:ascii="Times New Roman" w:hAnsi="Times New Roman"/>
                <w:sz w:val="24"/>
                <w:szCs w:val="24"/>
              </w:rPr>
            </w:pPr>
            <w:r>
              <w:rPr>
                <w:rFonts w:hint="eastAsia" w:ascii="Times New Roman" w:hAnsi="Times New Roman"/>
                <w:sz w:val="24"/>
                <w:szCs w:val="24"/>
              </w:rPr>
              <w:t>包装：</w:t>
            </w:r>
          </w:p>
        </w:tc>
        <w:tc>
          <w:tcPr>
            <w:tcW w:w="6959"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内衬PE袋的纸箱，每箱净重25KG；</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00公斤/托盘。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44" w:type="dxa"/>
            <w:tcBorders>
              <w:top w:val="nil"/>
              <w:left w:val="nil"/>
              <w:bottom w:val="nil"/>
              <w:right w:val="nil"/>
            </w:tcBorders>
          </w:tcPr>
          <w:p>
            <w:pPr>
              <w:spacing w:line="360" w:lineRule="auto"/>
              <w:rPr>
                <w:rFonts w:ascii="Times New Roman" w:hAnsi="Times New Roman"/>
                <w:sz w:val="24"/>
                <w:szCs w:val="24"/>
              </w:rPr>
            </w:pPr>
            <w:r>
              <w:rPr>
                <w:rFonts w:hint="eastAsia" w:ascii="Times New Roman" w:hAnsi="Times New Roman"/>
                <w:sz w:val="24"/>
                <w:szCs w:val="24"/>
              </w:rPr>
              <w:t>储存稳定性：</w:t>
            </w:r>
          </w:p>
        </w:tc>
        <w:tc>
          <w:tcPr>
            <w:tcW w:w="6959"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密封储存在阴凉、干燥、通风良好的地方，建议产品保存期限为</w:t>
            </w:r>
            <w:r>
              <w:rPr>
                <w:rFonts w:hint="eastAsia" w:ascii="Times New Roman" w:hAnsi="Times New Roman" w:cs="Times New Roman"/>
                <w:sz w:val="24"/>
                <w:szCs w:val="24"/>
                <w:lang w:eastAsia="zh-CN"/>
              </w:rPr>
              <w:t>两</w:t>
            </w:r>
            <w:r>
              <w:rPr>
                <w:rFonts w:hint="default" w:ascii="Times New Roman" w:hAnsi="Times New Roman" w:cs="Times New Roman"/>
                <w:sz w:val="24"/>
                <w:szCs w:val="24"/>
              </w:rPr>
              <w:t>年。</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944" w:type="dxa"/>
            <w:tcBorders>
              <w:top w:val="nil"/>
              <w:left w:val="nil"/>
              <w:bottom w:val="single" w:color="000000" w:sz="12" w:space="0"/>
              <w:right w:val="nil"/>
            </w:tcBorders>
            <w:vAlign w:val="center"/>
          </w:tcPr>
          <w:p>
            <w:pPr>
              <w:rPr>
                <w:rFonts w:ascii="Times New Roman" w:hAnsi="Times New Roman"/>
                <w:sz w:val="24"/>
                <w:szCs w:val="24"/>
              </w:rPr>
            </w:pPr>
            <w:r>
              <w:rPr>
                <w:rFonts w:hint="eastAsia" w:ascii="Times New Roman" w:hAnsi="Times New Roman"/>
                <w:sz w:val="24"/>
                <w:szCs w:val="24"/>
              </w:rPr>
              <w:t>处置：</w:t>
            </w:r>
          </w:p>
        </w:tc>
        <w:tc>
          <w:tcPr>
            <w:tcW w:w="6959" w:type="dxa"/>
            <w:gridSpan w:val="3"/>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在橡胶加工过程中化学添加剂的工作区域建议抽风排气，更进一步的处置资料请参考</w:t>
            </w:r>
            <w:r>
              <w:rPr>
                <w:rFonts w:hint="default" w:ascii="Times New Roman" w:hAnsi="Times New Roman" w:cs="Times New Roman"/>
                <w:bCs/>
                <w:sz w:val="24"/>
                <w:szCs w:val="24"/>
              </w:rPr>
              <w:t>Actmix</w:t>
            </w:r>
            <w:r>
              <w:rPr>
                <w:rFonts w:hint="default" w:ascii="Times New Roman" w:hAnsi="Times New Roman" w:cs="Times New Roman"/>
                <w:bCs/>
                <w:sz w:val="24"/>
                <w:szCs w:val="24"/>
                <w:vertAlign w:val="superscript"/>
                <w:lang w:val="en-US" w:eastAsia="zh-CN"/>
              </w:rPr>
              <w:t xml:space="preserve"> </w:t>
            </w:r>
            <w:r>
              <w:rPr>
                <w:rFonts w:hint="default" w:ascii="Times New Roman" w:hAnsi="Times New Roman" w:cs="Times New Roman"/>
                <w:bCs/>
                <w:color w:val="auto"/>
                <w:sz w:val="24"/>
                <w:szCs w:val="24"/>
                <w:lang w:val="en-US" w:eastAsia="zh-CN"/>
              </w:rPr>
              <w:t>LFC/PE</w:t>
            </w:r>
            <w:r>
              <w:rPr>
                <w:rFonts w:hint="default" w:ascii="Times New Roman" w:hAnsi="Times New Roman" w:cs="Times New Roman"/>
                <w:sz w:val="24"/>
                <w:szCs w:val="24"/>
              </w:rPr>
              <w:t>的安全数据表。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8903" w:type="dxa"/>
            <w:gridSpan w:val="4"/>
            <w:tcBorders>
              <w:top w:val="single" w:color="000000" w:sz="12" w:space="0"/>
              <w:left w:val="nil"/>
              <w:bottom w:val="nil"/>
              <w:right w:val="nil"/>
            </w:tcBorders>
            <w:vAlign w:val="center"/>
          </w:tcPr>
          <w:p>
            <w:pPr>
              <w:spacing w:line="252" w:lineRule="auto"/>
              <w:rPr>
                <w:rFonts w:hAnsi="宋体"/>
                <w:sz w:val="18"/>
                <w:szCs w:val="18"/>
              </w:rPr>
            </w:pPr>
          </w:p>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p>
          <w:p>
            <w:pPr>
              <w:spacing w:line="252" w:lineRule="auto"/>
              <w:rPr>
                <w:rFonts w:hAnsi="宋体"/>
                <w:sz w:val="18"/>
                <w:szCs w:val="18"/>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903" w:type="dxa"/>
            <w:gridSpan w:val="4"/>
            <w:tcBorders>
              <w:top w:val="nil"/>
              <w:left w:val="nil"/>
              <w:bottom w:val="nil"/>
              <w:right w:val="nil"/>
            </w:tcBorders>
            <w:shd w:val="clear" w:color="auto" w:fill="00CC00"/>
            <w:vAlign w:val="center"/>
          </w:tcPr>
          <w:p>
            <w:pPr>
              <w:rPr>
                <w:rFonts w:hint="eastAsia" w:ascii="Arial" w:hAnsi="Arial" w:eastAsia="宋体" w:cs="Arial"/>
                <w:b/>
                <w:bCs/>
                <w:color w:val="FFFFFF"/>
                <w:sz w:val="24"/>
                <w:szCs w:val="24"/>
                <w:lang w:eastAsia="zh-CN"/>
              </w:rPr>
            </w:pPr>
            <w:r>
              <w:rPr>
                <w:rFonts w:ascii="Arial" w:hAnsi="Arial" w:cs="Arial"/>
                <w:b/>
                <w:bCs/>
                <w:color w:val="FFFFFF"/>
                <w:sz w:val="24"/>
                <w:szCs w:val="24"/>
              </w:rPr>
              <w:t>Actmix</w:t>
            </w:r>
            <w:r>
              <w:rPr>
                <w:rFonts w:hint="eastAsia" w:ascii="Arial" w:hAnsi="Arial" w:cs="Arial"/>
                <w:b/>
                <w:bCs/>
                <w:color w:val="FFFFFF"/>
                <w:sz w:val="24"/>
                <w:szCs w:val="24"/>
                <w:lang w:val="en-US" w:eastAsia="zh-CN"/>
              </w:rPr>
              <w:t xml:space="preserve"> </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LFC/PE</w:t>
            </w:r>
            <w:r>
              <w:rPr>
                <w:rFonts w:hint="eastAsia" w:ascii="Arial" w:hAnsi="Arial" w:cs="Arial"/>
                <w:b/>
                <w:bCs/>
                <w:color w:val="FFFFFF"/>
                <w:sz w:val="24"/>
                <w:szCs w:val="24"/>
              </w:rPr>
              <w:t xml:space="preserve">                         </w:t>
            </w:r>
            <w:r>
              <w:rPr>
                <w:rFonts w:hint="eastAsia" w:ascii="Arial" w:hAnsi="Arial" w:cs="Arial"/>
                <w:b/>
                <w:bCs/>
                <w:color w:val="FFFFFF"/>
                <w:szCs w:val="21"/>
              </w:rPr>
              <w:t xml:space="preserve">产品技术说明书（TDS） </w:t>
            </w:r>
            <w:r>
              <w:rPr>
                <w:rFonts w:hint="eastAsia" w:ascii="Arial" w:hAnsi="Arial" w:cs="Arial"/>
                <w:color w:val="FFFFFF"/>
                <w:szCs w:val="21"/>
              </w:rPr>
              <w:t>版本1.</w:t>
            </w:r>
            <w:r>
              <w:rPr>
                <w:rFonts w:hint="eastAsia" w:ascii="Arial" w:hAnsi="Arial" w:cs="Arial"/>
                <w:color w:val="FFFFFF"/>
                <w:szCs w:val="21"/>
                <w:lang w:val="en-US" w:eastAsia="zh-CN"/>
              </w:rPr>
              <w:t>4</w:t>
            </w:r>
          </w:p>
        </w:tc>
      </w:tr>
    </w:tbl>
    <w:p>
      <w:pPr>
        <w:spacing w:line="360" w:lineRule="auto"/>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rPr>
        <w:t xml:space="preserve">ACT </w:t>
      </w:r>
      <w:r>
        <w:rPr>
          <w:rFonts w:hint="eastAsia" w:ascii="Times New Roman" w:hAnsi="Times New Roman"/>
          <w:color w:val="auto"/>
          <w:sz w:val="24"/>
          <w:szCs w:val="24"/>
          <w:highlight w:val="none"/>
          <w:lang w:val="en-US" w:eastAsia="zh-CN"/>
        </w:rPr>
        <w:t>80</w:t>
      </w:r>
      <w:bookmarkStart w:id="0" w:name="_GoBack"/>
      <w:bookmarkEnd w:id="0"/>
    </w:p>
    <w:sectPr>
      <w:headerReference r:id="rId3" w:type="default"/>
      <w:footerReference r:id="rId4" w:type="default"/>
      <w:pgSz w:w="11906" w:h="16838"/>
      <w:pgMar w:top="1440" w:right="1800" w:bottom="1440" w:left="1800" w:header="1134" w:footer="116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新宋体" w:hAnsi="新宋体" w:eastAsia="新宋体" w:cs="Arial"/>
        <w:b/>
        <w:color w:val="008000"/>
        <w:sz w:val="44"/>
        <w:szCs w:val="44"/>
      </w:rPr>
    </w:pPr>
    <w:r>
      <w:rPr>
        <w:rFonts w:hint="eastAsia" w:ascii="Arial" w:hAnsi="Arial" w:eastAsia="新宋体" w:cs="Arial"/>
        <w:b/>
        <w:color w:val="008000"/>
        <w:sz w:val="44"/>
        <w:szCs w:val="44"/>
      </w:rPr>
      <w:t>宁波艾克姆新材料</w:t>
    </w:r>
    <w:r>
      <w:rPr>
        <w:rFonts w:hint="eastAsia" w:ascii="Arial" w:hAnsi="Arial" w:eastAsia="新宋体" w:cs="Arial"/>
        <w:b/>
        <w:color w:val="008000"/>
        <w:sz w:val="44"/>
        <w:szCs w:val="44"/>
        <w:lang w:eastAsia="zh-CN"/>
      </w:rPr>
      <w:t>股份</w:t>
    </w:r>
    <w:r>
      <w:rPr>
        <w:rFonts w:hint="eastAsia" w:ascii="Arial" w:hAnsi="Arial" w:eastAsia="新宋体" w:cs="Arial"/>
        <w:b/>
        <w:color w:val="008000"/>
        <w:sz w:val="44"/>
        <w:szCs w:val="44"/>
      </w:rPr>
      <w:t>有限公司</w:t>
    </w:r>
  </w:p>
  <w:p>
    <w:pPr>
      <w:pStyle w:val="3"/>
    </w:pPr>
    <w:r>
      <w:rPr>
        <w:rFonts w:hint="eastAsia" w:ascii="Arial" w:hAnsi="Arial" w:cs="Arial"/>
        <w:color w:val="008000"/>
        <w:kern w:val="0"/>
      </w:rPr>
      <w:t>电话：</w:t>
    </w:r>
    <w:r>
      <w:rPr>
        <w:rFonts w:hint="eastAsia" w:ascii="Arial" w:hAnsi="Arial" w:cs="Arial"/>
        <w:color w:val="008000"/>
      </w:rPr>
      <w:t>0</w:t>
    </w:r>
    <w:r>
      <w:rPr>
        <w:rFonts w:ascii="Arial" w:hAnsi="Arial" w:cs="Arial"/>
        <w:color w:val="008000"/>
      </w:rPr>
      <w:t>574-</w:t>
    </w:r>
    <w:r>
      <w:rPr>
        <w:rFonts w:hint="eastAsia" w:ascii="Arial" w:hAnsi="Arial" w:cs="Arial"/>
        <w:color w:val="008000"/>
      </w:rPr>
      <w:t xml:space="preserve">87468726  </w:t>
    </w:r>
    <w:r>
      <w:rPr>
        <w:rFonts w:hint="eastAsia" w:ascii="Arial" w:hAnsi="Arial" w:cs="Arial"/>
        <w:color w:val="008000"/>
        <w:kern w:val="0"/>
      </w:rPr>
      <w:t>传真：</w:t>
    </w:r>
    <w:r>
      <w:rPr>
        <w:rFonts w:ascii="Arial" w:hAnsi="Arial" w:cs="Arial"/>
        <w:color w:val="008000"/>
      </w:rPr>
      <w:t>0574-</w:t>
    </w:r>
    <w:r>
      <w:rPr>
        <w:rFonts w:hint="eastAsia" w:ascii="Arial" w:hAnsi="Arial" w:cs="Arial"/>
        <w:color w:val="008000"/>
      </w:rPr>
      <w:t>88002102  Email：dychem@actmix.cn  网址：</w:t>
    </w:r>
    <w:r>
      <w:rPr>
        <w:rFonts w:ascii="Arial" w:hAnsi="Arial" w:cs="Arial"/>
        <w:color w:val="008000"/>
        <w:kern w:val="0"/>
      </w:rPr>
      <w:t>www.actmix.</w:t>
    </w:r>
    <w:r>
      <w:rPr>
        <w:rFonts w:hint="eastAsia" w:ascii="Arial" w:hAnsi="Arial" w:cs="Arial"/>
        <w:color w:val="008000"/>
        <w:kern w:val="0"/>
      </w:rPr>
      <w: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ascii="Arial" w:hAnsi="Arial" w:cs="Arial"/>
        <w:sz w:val="30"/>
        <w:szCs w:val="30"/>
      </w:rPr>
    </w:pPr>
    <w:r>
      <w:rPr>
        <w:rFonts w:ascii="Arial" w:hAnsi="Arial" w:cs="Arial"/>
        <w:sz w:val="30"/>
        <w:szCs w:val="30"/>
      </w:rPr>
      <w:t>Technical Data Sheet</w:t>
    </w:r>
    <w:r>
      <w:rPr>
        <w:rFonts w:ascii="Arial" w:hAnsi="Arial" w:cs="Arial"/>
        <w:sz w:val="30"/>
        <w:szCs w:val="30"/>
      </w:rPr>
      <w:drawing>
        <wp:anchor distT="0" distB="0" distL="114300" distR="114300" simplePos="0" relativeHeight="1024" behindDoc="0" locked="0" layoutInCell="1" allowOverlap="1">
          <wp:simplePos x="0" y="0"/>
          <wp:positionH relativeFrom="column">
            <wp:posOffset>3093720</wp:posOffset>
          </wp:positionH>
          <wp:positionV relativeFrom="paragraph">
            <wp:posOffset>-310515</wp:posOffset>
          </wp:positionV>
          <wp:extent cx="2305050" cy="657225"/>
          <wp:effectExtent l="0" t="0" r="1143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5050" cy="657225"/>
                  </a:xfrm>
                  <a:prstGeom prst="rect">
                    <a:avLst/>
                  </a:prstGeom>
                  <a:noFill/>
                  <a:ln w="9525">
                    <a:noFill/>
                  </a:ln>
                </pic:spPr>
              </pic:pic>
            </a:graphicData>
          </a:graphic>
        </wp:anchor>
      </w:drawing>
    </w:r>
    <w:r>
      <w:rPr>
        <w:rFonts w:hint="eastAsia" w:ascii="Arial" w:hAnsi="Arial" w:cs="Arial"/>
        <w:sz w:val="30"/>
        <w:szCs w:val="30"/>
      </w:rPr>
      <w:t xml:space="preserve"> </w:t>
    </w:r>
  </w:p>
  <w:p>
    <w:pPr>
      <w:pStyle w:val="4"/>
      <w:pBdr>
        <w:bottom w:val="none" w:color="auto" w:sz="0" w:space="1"/>
      </w:pBdr>
      <w:jc w:val="left"/>
      <w:rPr>
        <w:rFonts w:ascii="Arial" w:hAnsi="Arial" w:cs="Arial"/>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423DF"/>
    <w:rsid w:val="000E5938"/>
    <w:rsid w:val="00172A27"/>
    <w:rsid w:val="0024558C"/>
    <w:rsid w:val="0025454F"/>
    <w:rsid w:val="00324E45"/>
    <w:rsid w:val="00681409"/>
    <w:rsid w:val="006D5AEB"/>
    <w:rsid w:val="0073614F"/>
    <w:rsid w:val="00752808"/>
    <w:rsid w:val="007E614D"/>
    <w:rsid w:val="00800B33"/>
    <w:rsid w:val="008031FF"/>
    <w:rsid w:val="008A4F1E"/>
    <w:rsid w:val="00900B6B"/>
    <w:rsid w:val="00B418EF"/>
    <w:rsid w:val="00B94806"/>
    <w:rsid w:val="00CA0726"/>
    <w:rsid w:val="00D05026"/>
    <w:rsid w:val="00E4764D"/>
    <w:rsid w:val="00E522A4"/>
    <w:rsid w:val="00F7452F"/>
    <w:rsid w:val="00FA206C"/>
    <w:rsid w:val="00FD797D"/>
    <w:rsid w:val="00FE6985"/>
    <w:rsid w:val="02055550"/>
    <w:rsid w:val="043E034A"/>
    <w:rsid w:val="0A623BA0"/>
    <w:rsid w:val="0C155D47"/>
    <w:rsid w:val="12EC10F6"/>
    <w:rsid w:val="13912472"/>
    <w:rsid w:val="16AF4CDA"/>
    <w:rsid w:val="17E37849"/>
    <w:rsid w:val="1B90776B"/>
    <w:rsid w:val="1D210235"/>
    <w:rsid w:val="2184267D"/>
    <w:rsid w:val="21A36387"/>
    <w:rsid w:val="225C1C63"/>
    <w:rsid w:val="25B140D8"/>
    <w:rsid w:val="27090204"/>
    <w:rsid w:val="27F17F0B"/>
    <w:rsid w:val="28072B90"/>
    <w:rsid w:val="2A430E46"/>
    <w:rsid w:val="35695FC9"/>
    <w:rsid w:val="36F21AFB"/>
    <w:rsid w:val="39B22608"/>
    <w:rsid w:val="3BF16C13"/>
    <w:rsid w:val="43312434"/>
    <w:rsid w:val="43825436"/>
    <w:rsid w:val="4383152C"/>
    <w:rsid w:val="4A381337"/>
    <w:rsid w:val="4C422A9E"/>
    <w:rsid w:val="4EC72333"/>
    <w:rsid w:val="5CCD5483"/>
    <w:rsid w:val="5D67302B"/>
    <w:rsid w:val="5FAB1648"/>
    <w:rsid w:val="6B316976"/>
    <w:rsid w:val="6EE93F18"/>
    <w:rsid w:val="6F261B78"/>
    <w:rsid w:val="71583472"/>
    <w:rsid w:val="72BE220F"/>
    <w:rsid w:val="78771C2C"/>
    <w:rsid w:val="7A114844"/>
    <w:rsid w:val="7BCD1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yperlink"/>
    <w:basedOn w:val="8"/>
    <w:unhideWhenUsed/>
    <w:qFormat/>
    <w:uiPriority w:val="0"/>
    <w:rPr>
      <w:color w:val="0000FF"/>
      <w:u w:val="single"/>
    </w:r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0"/>
    <w:rPr>
      <w:rFonts w:ascii="Calibri" w:hAnsi="Calibri"/>
      <w:kern w:val="2"/>
      <w:sz w:val="18"/>
      <w:szCs w:val="18"/>
    </w:rPr>
  </w:style>
  <w:style w:type="character" w:customStyle="1" w:styleId="12">
    <w:name w:val="页脚 Char"/>
    <w:basedOn w:val="8"/>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90</Words>
  <Characters>516</Characters>
  <Lines>4</Lines>
  <Paragraphs>1</Paragraphs>
  <TotalTime>1</TotalTime>
  <ScaleCrop>false</ScaleCrop>
  <LinksUpToDate>false</LinksUpToDate>
  <CharactersWithSpaces>605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2018-11-20T06:48:00Z</dcterms:created>
  <dc:creator>dadi</dc:creator>
  <cp:lastModifiedBy>江心秋月白</cp:lastModifiedBy>
  <dcterms:modified xsi:type="dcterms:W3CDTF">2021-03-22T03:24:44Z</dcterms:modified>
  <dc:title>Technical Data Sheet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