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622" w:tblpY="514"/>
        <w:tblOverlap w:val="never"/>
        <w:tblW w:w="8903" w:type="dxa"/>
        <w:jc w:val="center"/>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1804"/>
        <w:gridCol w:w="181"/>
        <w:gridCol w:w="5217"/>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3505" w:type="dxa"/>
            <w:gridSpan w:val="2"/>
            <w:tcBorders>
              <w:top w:val="single" w:color="000000" w:sz="12" w:space="0"/>
              <w:bottom w:val="single" w:color="000000" w:sz="12" w:space="0"/>
              <w:right w:val="nil"/>
            </w:tcBorders>
            <w:vAlign w:val="center"/>
          </w:tcPr>
          <w:p>
            <w:pPr>
              <w:rPr>
                <w:rFonts w:ascii="Arial" w:hAnsi="Arial" w:cs="Arial"/>
                <w:b/>
                <w:sz w:val="30"/>
                <w:szCs w:val="30"/>
              </w:rPr>
            </w:pPr>
            <w:r>
              <w:rPr>
                <w:rFonts w:ascii="Arial" w:hAnsi="Arial" w:cs="Arial"/>
                <w:b/>
                <w:sz w:val="30"/>
                <w:szCs w:val="30"/>
              </w:rPr>
              <w:t>Actmix</w:t>
            </w:r>
            <w:r>
              <w:rPr>
                <w:rFonts w:hint="eastAsia" w:ascii="Arial" w:hAnsi="Arial" w:cs="Arial"/>
                <w:b/>
                <w:sz w:val="30"/>
                <w:szCs w:val="30"/>
                <w:lang w:val="en-US" w:eastAsia="zh-CN"/>
              </w:rPr>
              <w:t xml:space="preserve"> </w:t>
            </w:r>
            <w:r>
              <w:rPr>
                <w:rFonts w:hint="eastAsia" w:ascii="Arial" w:hAnsi="Arial" w:cs="Arial"/>
                <w:b/>
                <w:sz w:val="30"/>
                <w:szCs w:val="30"/>
                <w:vertAlign w:val="baseline"/>
                <w:lang w:val="en-US" w:eastAsia="zh-CN"/>
              </w:rPr>
              <w:t>MBEM304-40%</w:t>
            </w:r>
          </w:p>
        </w:tc>
        <w:tc>
          <w:tcPr>
            <w:tcW w:w="5398" w:type="dxa"/>
            <w:gridSpan w:val="2"/>
            <w:tcBorders>
              <w:top w:val="single" w:color="000000" w:sz="12" w:space="0"/>
              <w:left w:val="nil"/>
              <w:bottom w:val="single" w:color="000000" w:sz="12" w:space="0"/>
            </w:tcBorders>
            <w:vAlign w:val="center"/>
          </w:tcPr>
          <w:p>
            <w:pPr>
              <w:rPr>
                <w:rFonts w:hint="eastAsia" w:ascii="Times New Roman" w:hAnsi="Times New Roman"/>
                <w:sz w:val="30"/>
                <w:szCs w:val="30"/>
              </w:rPr>
            </w:pPr>
            <w:r>
              <w:rPr>
                <w:rFonts w:hint="eastAsia" w:ascii="Times New Roman" w:hAnsi="Times New Roman"/>
                <w:sz w:val="30"/>
                <w:szCs w:val="30"/>
                <w:lang w:val="en-US" w:eastAsia="zh-CN"/>
              </w:rPr>
              <w:t xml:space="preserve">              </w:t>
            </w:r>
            <w:r>
              <w:rPr>
                <w:rFonts w:hint="eastAsia" w:ascii="Times New Roman" w:hAnsi="Times New Roman"/>
                <w:sz w:val="30"/>
                <w:szCs w:val="30"/>
              </w:rPr>
              <w:t>预分散橡胶</w:t>
            </w:r>
            <w:r>
              <w:rPr>
                <w:rFonts w:hint="eastAsia" w:ascii="Times New Roman" w:hAnsi="Times New Roman"/>
                <w:sz w:val="30"/>
                <w:szCs w:val="30"/>
                <w:lang w:val="en-US" w:eastAsia="zh-CN"/>
              </w:rPr>
              <w:t>微球发泡</w:t>
            </w:r>
            <w:r>
              <w:rPr>
                <w:rFonts w:hint="eastAsia" w:ascii="Times New Roman" w:hAnsi="Times New Roman"/>
                <w:sz w:val="30"/>
                <w:szCs w:val="30"/>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701" w:type="dxa"/>
            <w:tcBorders>
              <w:top w:val="single" w:color="000000" w:sz="12" w:space="0"/>
              <w:left w:val="nil"/>
              <w:bottom w:val="single" w:color="000000" w:sz="12" w:space="0"/>
              <w:right w:val="nil"/>
            </w:tcBorders>
            <w:vAlign w:val="center"/>
          </w:tcPr>
          <w:p>
            <w:pPr>
              <w:rPr>
                <w:rFonts w:ascii="Times New Roman" w:hAnsi="Times New Roman"/>
                <w:b/>
                <w:sz w:val="24"/>
                <w:szCs w:val="24"/>
              </w:rPr>
            </w:pPr>
            <w:r>
              <w:rPr>
                <w:rFonts w:hint="eastAsia" w:ascii="Times New Roman" w:hAnsi="Times New Roman"/>
                <w:b/>
                <w:sz w:val="24"/>
                <w:szCs w:val="24"/>
              </w:rPr>
              <w:t>功能</w:t>
            </w:r>
          </w:p>
        </w:tc>
        <w:tc>
          <w:tcPr>
            <w:tcW w:w="7202" w:type="dxa"/>
            <w:gridSpan w:val="3"/>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微球发泡剂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701" w:type="dxa"/>
            <w:vMerge w:val="restart"/>
            <w:tcBorders>
              <w:top w:val="single" w:color="000000" w:sz="12" w:space="0"/>
              <w:left w:val="nil"/>
              <w:bottom w:val="single" w:color="000000" w:sz="4" w:space="0"/>
              <w:right w:val="nil"/>
            </w:tcBorders>
          </w:tcPr>
          <w:p>
            <w:pPr>
              <w:rPr>
                <w:rFonts w:ascii="Times New Roman" w:hAnsi="Times New Roman"/>
                <w:b/>
                <w:sz w:val="24"/>
                <w:szCs w:val="24"/>
              </w:rPr>
            </w:pPr>
            <w:r>
              <w:rPr>
                <w:rFonts w:hint="eastAsia" w:ascii="Times New Roman" w:hAnsi="Times New Roman"/>
                <w:b/>
                <w:sz w:val="24"/>
                <w:szCs w:val="24"/>
              </w:rPr>
              <w:t>产品说明</w:t>
            </w:r>
          </w:p>
        </w:tc>
        <w:tc>
          <w:tcPr>
            <w:tcW w:w="1985"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ascii="Times New Roman" w:hAnsi="Times New Roman"/>
                <w:sz w:val="24"/>
                <w:szCs w:val="24"/>
              </w:rPr>
            </w:pPr>
            <w:r>
              <w:rPr>
                <w:rFonts w:hint="eastAsia" w:ascii="Times New Roman" w:hAnsi="Times New Roman"/>
                <w:sz w:val="24"/>
                <w:szCs w:val="24"/>
              </w:rPr>
              <w:t>组成：</w:t>
            </w:r>
          </w:p>
        </w:tc>
        <w:tc>
          <w:tcPr>
            <w:tcW w:w="5217" w:type="dxa"/>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ascii="Times New Roman" w:hAnsi="Times New Roman"/>
                <w:sz w:val="24"/>
                <w:szCs w:val="24"/>
              </w:rPr>
            </w:pPr>
            <w:r>
              <w:rPr>
                <w:rFonts w:hint="eastAsia"/>
                <w:sz w:val="24"/>
                <w:szCs w:val="24"/>
                <w:lang w:val="en-US" w:eastAsia="zh-CN"/>
              </w:rPr>
              <w:t>40%的微球发泡剂和60%预分散橡胶载体</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701"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85"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外观：</w:t>
            </w:r>
          </w:p>
        </w:tc>
        <w:tc>
          <w:tcPr>
            <w:tcW w:w="521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黑色片状</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701"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85"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 xml:space="preserve">密度（20 </w:t>
            </w:r>
            <w:r>
              <w:rPr>
                <w:rFonts w:ascii="Times New Roman" w:hAnsi="Times New Roman"/>
                <w:sz w:val="24"/>
                <w:szCs w:val="24"/>
              </w:rPr>
              <w:t>°C</w:t>
            </w:r>
            <w:r>
              <w:rPr>
                <w:rFonts w:hint="eastAsia" w:ascii="Times New Roman" w:hAnsi="Times New Roman"/>
                <w:sz w:val="24"/>
                <w:szCs w:val="24"/>
              </w:rPr>
              <w:t>）：</w:t>
            </w:r>
          </w:p>
        </w:tc>
        <w:tc>
          <w:tcPr>
            <w:tcW w:w="521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 w:val="24"/>
                <w:szCs w:val="24"/>
                <w:vertAlign w:val="superscript"/>
              </w:rPr>
            </w:pPr>
            <w:r>
              <w:rPr>
                <w:rFonts w:hint="eastAsia" w:ascii="Arial" w:hAnsi="Arial" w:cs="Arial"/>
                <w:sz w:val="24"/>
                <w:szCs w:val="24"/>
                <w:lang w:val="en-US" w:eastAsia="zh-CN"/>
              </w:rPr>
              <w:t>约</w:t>
            </w:r>
            <w:r>
              <w:rPr>
                <w:rFonts w:hint="eastAsia" w:ascii="Times New Roman" w:hAnsi="Times New Roman"/>
                <w:sz w:val="24"/>
                <w:szCs w:val="24"/>
                <w:lang w:val="en-US" w:eastAsia="zh-CN"/>
              </w:rPr>
              <w:t>0.9g/cm</w:t>
            </w:r>
            <w:r>
              <w:rPr>
                <w:rFonts w:hint="eastAsia" w:ascii="Times New Roman" w:hAnsi="Times New Roman"/>
                <w:sz w:val="24"/>
                <w:szCs w:val="24"/>
                <w:vertAlign w:val="superscript"/>
                <w:lang w:val="en-US" w:eastAsia="zh-CN"/>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701"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1985"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eastAsia="宋体"/>
                <w:sz w:val="24"/>
                <w:szCs w:val="24"/>
                <w:lang w:val="en-US" w:eastAsia="zh-CN"/>
              </w:rPr>
            </w:pPr>
            <w:r>
              <w:rPr>
                <w:rFonts w:hint="eastAsia"/>
                <w:sz w:val="24"/>
                <w:szCs w:val="24"/>
                <w:lang w:val="en-US" w:eastAsia="zh-CN"/>
              </w:rPr>
              <w:t>最佳发泡温度</w:t>
            </w:r>
          </w:p>
        </w:tc>
        <w:tc>
          <w:tcPr>
            <w:tcW w:w="5217"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Arial" w:hAnsi="Arial" w:cs="Arial"/>
                <w:sz w:val="24"/>
                <w:szCs w:val="24"/>
                <w:lang w:val="en-US" w:eastAsia="zh-CN"/>
              </w:rPr>
            </w:pPr>
            <w:r>
              <w:rPr>
                <w:rFonts w:hint="eastAsia" w:ascii="Times New Roman" w:hAnsi="Times New Roman"/>
                <w:sz w:val="24"/>
                <w:szCs w:val="24"/>
                <w:lang w:val="en-US" w:eastAsia="zh-CN"/>
              </w:rPr>
              <w:t>135-185</w:t>
            </w:r>
            <w:r>
              <w:rPr>
                <w:rFonts w:ascii="Times New Roman" w:hAnsi="Times New Roman"/>
                <w:sz w:val="24"/>
                <w:szCs w:val="24"/>
              </w:rPr>
              <w:t>°C</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701" w:type="dxa"/>
            <w:vMerge w:val="continue"/>
            <w:tcBorders>
              <w:top w:val="single" w:color="000000" w:sz="4" w:space="0"/>
              <w:left w:val="nil"/>
              <w:bottom w:val="single" w:color="000000" w:sz="12" w:space="0"/>
              <w:right w:val="nil"/>
            </w:tcBorders>
            <w:vAlign w:val="center"/>
          </w:tcPr>
          <w:p>
            <w:pPr>
              <w:spacing w:beforeLines="100" w:afterLines="50"/>
              <w:rPr>
                <w:rFonts w:ascii="Times New Roman" w:hAnsi="Times New Roman"/>
                <w:b/>
                <w:sz w:val="24"/>
                <w:szCs w:val="24"/>
              </w:rPr>
            </w:pPr>
          </w:p>
        </w:tc>
        <w:tc>
          <w:tcPr>
            <w:tcW w:w="1985" w:type="dxa"/>
            <w:gridSpan w:val="2"/>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安全特性：</w:t>
            </w:r>
          </w:p>
        </w:tc>
        <w:tc>
          <w:tcPr>
            <w:tcW w:w="5217"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701" w:type="dxa"/>
            <w:tcBorders>
              <w:top w:val="single" w:color="000000" w:sz="12" w:space="0"/>
              <w:left w:val="nil"/>
              <w:bottom w:val="single" w:color="000000" w:sz="12" w:space="0"/>
              <w:right w:val="nil"/>
            </w:tcBorders>
            <w:vAlign w:val="center"/>
          </w:tcPr>
          <w:p>
            <w:pPr>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应用资料</w:t>
            </w:r>
          </w:p>
        </w:tc>
        <w:tc>
          <w:tcPr>
            <w:tcW w:w="7202" w:type="dxa"/>
            <w:gridSpan w:val="3"/>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701" w:type="dxa"/>
            <w:tcBorders>
              <w:top w:val="single" w:color="000000" w:sz="12" w:space="0"/>
              <w:left w:val="nil"/>
              <w:bottom w:val="nil"/>
              <w:right w:val="nil"/>
            </w:tcBorders>
          </w:tcPr>
          <w:p>
            <w:pPr>
              <w:rPr>
                <w:rFonts w:ascii="Times New Roman" w:hAnsi="Times New Roman"/>
                <w:sz w:val="24"/>
                <w:szCs w:val="24"/>
              </w:rPr>
            </w:pPr>
            <w:r>
              <w:rPr>
                <w:rFonts w:hint="eastAsia" w:ascii="Times New Roman" w:hAnsi="Times New Roman"/>
                <w:sz w:val="24"/>
                <w:szCs w:val="24"/>
                <w:lang w:val="en-US" w:eastAsia="zh-CN"/>
              </w:rPr>
              <w:t>用途</w:t>
            </w:r>
            <w:r>
              <w:rPr>
                <w:rFonts w:hint="eastAsia" w:ascii="Times New Roman" w:hAnsi="Times New Roman"/>
                <w:sz w:val="24"/>
                <w:szCs w:val="24"/>
              </w:rPr>
              <w:t>：</w:t>
            </w:r>
          </w:p>
        </w:tc>
        <w:tc>
          <w:tcPr>
            <w:tcW w:w="7202"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sz w:val="24"/>
                <w:szCs w:val="24"/>
                <w:lang w:val="en-US" w:eastAsia="zh-CN"/>
              </w:rPr>
              <w:t>Actmix MBEM304-40% 预分散微球发泡剂是一种加热后体积可迅速膨胀增大到自身的几十倍，从而达到发泡效果的发泡剂。有性能稳定、不易燃、不污染、无毒无味、对模具不腐蚀对制品不染色等优点，膨胀微球发泡剂使用简单，</w:t>
            </w:r>
            <w:r>
              <w:rPr>
                <w:rFonts w:hint="eastAsia" w:ascii="Arial" w:hAnsi="Arial" w:cs="Arial"/>
                <w:sz w:val="24"/>
                <w:szCs w:val="24"/>
                <w:lang w:val="en-US" w:eastAsia="zh-CN"/>
              </w:rPr>
              <w:t>用于降低产品的密度，达到轻量化的目的，主要用于</w:t>
            </w:r>
            <w:r>
              <w:rPr>
                <w:rFonts w:hint="eastAsia"/>
                <w:sz w:val="24"/>
                <w:szCs w:val="24"/>
                <w:lang w:val="en-US" w:eastAsia="zh-CN"/>
              </w:rPr>
              <w:t>密封条密实胶及轻量化的橡胶制品等</w:t>
            </w:r>
            <w:r>
              <w:rPr>
                <w:rFonts w:hint="eastAsia" w:ascii="Arial" w:hAnsi="Arial" w:cs="Arial"/>
                <w:sz w:val="24"/>
                <w:szCs w:val="24"/>
                <w:lang w:val="en-US" w:eastAsia="zh-CN"/>
              </w:rPr>
              <w:t>。</w:t>
            </w:r>
            <w:r>
              <w:rPr>
                <w:rFonts w:hint="eastAsia"/>
                <w:sz w:val="24"/>
                <w:szCs w:val="24"/>
                <w:lang w:val="en-US" w:eastAsia="zh-CN"/>
              </w:rPr>
              <w:t>预分散微球发泡剂同时没有粉尘飞扬，称量方便，分散性很好。</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701" w:type="dxa"/>
            <w:tcBorders>
              <w:top w:val="nil"/>
              <w:left w:val="nil"/>
              <w:bottom w:val="nil"/>
              <w:right w:val="nil"/>
            </w:tcBorders>
          </w:tcPr>
          <w:p>
            <w:pPr>
              <w:rPr>
                <w:rFonts w:ascii="Times New Roman" w:hAnsi="Times New Roman"/>
                <w:sz w:val="24"/>
                <w:szCs w:val="24"/>
              </w:rPr>
            </w:pPr>
            <w:r>
              <w:rPr>
                <w:rFonts w:hint="eastAsia" w:ascii="Times New Roman" w:hAnsi="Times New Roman"/>
                <w:sz w:val="24"/>
                <w:szCs w:val="24"/>
              </w:rPr>
              <w:t>用量：</w:t>
            </w:r>
          </w:p>
        </w:tc>
        <w:tc>
          <w:tcPr>
            <w:tcW w:w="7202"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2-10phr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701" w:type="dxa"/>
            <w:tcBorders>
              <w:top w:val="single" w:color="000000" w:sz="12" w:space="0"/>
              <w:left w:val="nil"/>
              <w:bottom w:val="nil"/>
              <w:right w:val="nil"/>
            </w:tcBorders>
            <w:vAlign w:val="center"/>
          </w:tcPr>
          <w:p>
            <w:pP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应用</w:t>
            </w:r>
          </w:p>
        </w:tc>
        <w:tc>
          <w:tcPr>
            <w:tcW w:w="7202"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Times New Roman" w:hAnsi="Times New Roman"/>
                <w:sz w:val="24"/>
                <w:szCs w:val="24"/>
              </w:rPr>
            </w:pPr>
            <w:r>
              <w:rPr>
                <w:rFonts w:hint="eastAsia"/>
                <w:sz w:val="24"/>
                <w:szCs w:val="24"/>
                <w:lang w:val="en-US" w:eastAsia="zh-CN"/>
              </w:rPr>
              <w:t>密封条密实胶及轻量化的橡胶制品等。</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701" w:type="dxa"/>
            <w:tcBorders>
              <w:top w:val="single" w:color="000000" w:sz="12" w:space="0"/>
              <w:left w:val="nil"/>
              <w:bottom w:val="nil"/>
              <w:right w:val="nil"/>
            </w:tcBorders>
            <w:vAlign w:val="center"/>
          </w:tcPr>
          <w:p>
            <w:pPr>
              <w:rPr>
                <w:rFonts w:ascii="Times New Roman" w:hAnsi="Times New Roman"/>
                <w:sz w:val="24"/>
                <w:szCs w:val="24"/>
              </w:rPr>
            </w:pPr>
            <w:r>
              <w:rPr>
                <w:rFonts w:hint="eastAsia" w:ascii="Times New Roman" w:hAnsi="Times New Roman"/>
                <w:sz w:val="24"/>
                <w:szCs w:val="24"/>
              </w:rPr>
              <w:t>包装：</w:t>
            </w:r>
          </w:p>
        </w:tc>
        <w:tc>
          <w:tcPr>
            <w:tcW w:w="7202" w:type="dxa"/>
            <w:gridSpan w:val="3"/>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内衬PE袋的纸箱，每箱净重2</w:t>
            </w:r>
            <w:r>
              <w:rPr>
                <w:rFonts w:hint="eastAsia" w:ascii="Times New Roman" w:hAnsi="Times New Roman"/>
                <w:sz w:val="24"/>
                <w:szCs w:val="24"/>
                <w:lang w:val="en-US" w:eastAsia="zh-CN"/>
              </w:rPr>
              <w:t>0</w:t>
            </w:r>
            <w:r>
              <w:rPr>
                <w:rFonts w:hint="eastAsia" w:ascii="Times New Roman" w:hAnsi="Times New Roman"/>
                <w:sz w:val="24"/>
                <w:szCs w:val="24"/>
              </w:rPr>
              <w:t>KG；</w:t>
            </w:r>
            <w:r>
              <w:rPr>
                <w:rFonts w:hint="eastAsia" w:ascii="Times New Roman" w:hAnsi="Times New Roman"/>
                <w:sz w:val="24"/>
                <w:szCs w:val="24"/>
                <w:lang w:val="en-US" w:eastAsia="zh-CN"/>
              </w:rPr>
              <w:t>480</w:t>
            </w:r>
            <w:r>
              <w:rPr>
                <w:rFonts w:hint="eastAsia" w:ascii="宋体" w:hAnsi="宋体"/>
                <w:sz w:val="24"/>
                <w:szCs w:val="24"/>
              </w:rPr>
              <w:t>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701" w:type="dxa"/>
            <w:tcBorders>
              <w:top w:val="nil"/>
              <w:left w:val="nil"/>
              <w:bottom w:val="nil"/>
              <w:right w:val="nil"/>
            </w:tcBorders>
          </w:tcPr>
          <w:p>
            <w:pPr>
              <w:rPr>
                <w:rFonts w:ascii="Times New Roman" w:hAnsi="Times New Roman"/>
                <w:sz w:val="24"/>
                <w:szCs w:val="24"/>
              </w:rPr>
            </w:pPr>
            <w:r>
              <w:rPr>
                <w:rFonts w:hint="eastAsia" w:ascii="Times New Roman" w:hAnsi="Times New Roman"/>
                <w:sz w:val="24"/>
                <w:szCs w:val="24"/>
              </w:rPr>
              <w:t>储存稳定性：</w:t>
            </w:r>
          </w:p>
        </w:tc>
        <w:tc>
          <w:tcPr>
            <w:tcW w:w="7202" w:type="dxa"/>
            <w:gridSpan w:val="3"/>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密封储存在阴凉、干燥、通风良好的地方，建议产品保存期限为</w:t>
            </w:r>
            <w:r>
              <w:rPr>
                <w:rFonts w:hint="eastAsia" w:ascii="Times New Roman" w:hAnsi="Times New Roman"/>
                <w:sz w:val="24"/>
                <w:szCs w:val="24"/>
                <w:lang w:eastAsia="zh-CN"/>
              </w:rPr>
              <w:t>两</w:t>
            </w:r>
            <w:r>
              <w:rPr>
                <w:rFonts w:hint="eastAsia" w:ascii="Times New Roman" w:hAnsi="Times New Roman"/>
                <w:sz w:val="24"/>
                <w:szCs w:val="24"/>
              </w:rPr>
              <w:t>年。</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701" w:type="dxa"/>
            <w:tcBorders>
              <w:top w:val="nil"/>
              <w:left w:val="nil"/>
              <w:bottom w:val="single" w:color="000000" w:sz="12" w:space="0"/>
              <w:right w:val="nil"/>
            </w:tcBorders>
            <w:vAlign w:val="center"/>
          </w:tcPr>
          <w:p>
            <w:pPr>
              <w:rPr>
                <w:rFonts w:ascii="Times New Roman" w:hAnsi="Times New Roman"/>
                <w:sz w:val="24"/>
                <w:szCs w:val="24"/>
              </w:rPr>
            </w:pPr>
            <w:r>
              <w:rPr>
                <w:rFonts w:hint="eastAsia" w:ascii="Times New Roman" w:hAnsi="Times New Roman"/>
                <w:sz w:val="24"/>
                <w:szCs w:val="24"/>
              </w:rPr>
              <w:t>处置：</w:t>
            </w:r>
          </w:p>
        </w:tc>
        <w:tc>
          <w:tcPr>
            <w:tcW w:w="7202" w:type="dxa"/>
            <w:gridSpan w:val="3"/>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Times New Roman" w:hAnsi="Times New Roman"/>
                <w:sz w:val="24"/>
                <w:szCs w:val="24"/>
              </w:rPr>
            </w:pPr>
            <w:r>
              <w:rPr>
                <w:rFonts w:hint="eastAsia" w:ascii="Times New Roman" w:hAnsi="Times New Roman"/>
                <w:sz w:val="24"/>
                <w:szCs w:val="24"/>
              </w:rPr>
              <w:t>在橡胶加工过程中化学添加剂的工作区域建议抽风排气，更进一步的处置资料请参考</w:t>
            </w:r>
            <w:r>
              <w:rPr>
                <w:rFonts w:hint="eastAsia"/>
                <w:sz w:val="24"/>
                <w:szCs w:val="24"/>
                <w:lang w:val="en-US" w:eastAsia="zh-CN"/>
              </w:rPr>
              <w:t>Actmix MBEM304-40%</w:t>
            </w:r>
            <w:r>
              <w:rPr>
                <w:rFonts w:hint="eastAsia" w:ascii="Times New Roman" w:hAnsi="Times New Roman"/>
                <w:sz w:val="24"/>
                <w:szCs w:val="24"/>
              </w:rPr>
              <w:t>的安全数据表。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8903" w:type="dxa"/>
            <w:gridSpan w:val="4"/>
            <w:tcBorders>
              <w:top w:val="single" w:color="000000" w:sz="12" w:space="0"/>
              <w:left w:val="nil"/>
              <w:bottom w:val="nil"/>
              <w:right w:val="nil"/>
            </w:tcBorders>
            <w:vAlign w:val="center"/>
          </w:tcPr>
          <w:p>
            <w:pPr>
              <w:spacing w:line="252" w:lineRule="auto"/>
              <w:rPr>
                <w:rFonts w:hAnsi="宋体"/>
                <w:sz w:val="18"/>
                <w:szCs w:val="18"/>
              </w:rPr>
            </w:pP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p>
            <w:pPr>
              <w:spacing w:line="252" w:lineRule="auto"/>
              <w:rPr>
                <w:rFonts w:hAnsi="宋体"/>
                <w:sz w:val="18"/>
                <w:szCs w:val="18"/>
              </w:rPr>
            </w:pPr>
            <w:bookmarkStart w:id="0" w:name="_GoBack"/>
            <w:bookmarkEnd w:id="0"/>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903" w:type="dxa"/>
            <w:gridSpan w:val="4"/>
            <w:tcBorders>
              <w:top w:val="nil"/>
              <w:left w:val="nil"/>
              <w:bottom w:val="nil"/>
              <w:right w:val="nil"/>
            </w:tcBorders>
            <w:shd w:val="clear" w:color="auto" w:fill="00CC00"/>
            <w:vAlign w:val="center"/>
          </w:tcPr>
          <w:p>
            <w:pPr>
              <w:rPr>
                <w:rFonts w:ascii="Arial" w:hAnsi="Arial" w:cs="Arial"/>
                <w:b/>
                <w:bCs/>
                <w:color w:val="FFFFFF"/>
                <w:sz w:val="24"/>
                <w:szCs w:val="24"/>
              </w:rPr>
            </w:pPr>
            <w:r>
              <w:rPr>
                <w:rFonts w:ascii="Arial" w:hAnsi="Arial" w:cs="Arial"/>
                <w:b/>
                <w:bCs/>
                <w:color w:val="FFFFFF"/>
                <w:sz w:val="24"/>
                <w:szCs w:val="24"/>
              </w:rPr>
              <w:t>Actmix</w:t>
            </w:r>
            <w:r>
              <w:rPr>
                <w:rFonts w:hint="eastAsia" w:ascii="Arial" w:hAnsi="Arial" w:cs="Arial"/>
                <w:b/>
                <w:bCs/>
                <w:color w:val="FFFFFF"/>
                <w:sz w:val="24"/>
                <w:szCs w:val="24"/>
                <w:lang w:val="en-US" w:eastAsia="zh-CN"/>
              </w:rPr>
              <w:t xml:space="preserve">  MBEM304-40%</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w:t>
            </w:r>
            <w:r>
              <w:rPr>
                <w:rFonts w:hint="eastAsia" w:ascii="Arial" w:hAnsi="Arial" w:cs="Arial"/>
                <w:color w:val="FFFFFF"/>
                <w:szCs w:val="21"/>
                <w:lang w:val="en-US" w:eastAsia="zh-CN"/>
              </w:rPr>
              <w:t>4</w:t>
            </w:r>
          </w:p>
        </w:tc>
      </w:tr>
    </w:tbl>
    <w:p>
      <w:pPr>
        <w:spacing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ACT 54-3</w:t>
      </w:r>
    </w:p>
    <w:sectPr>
      <w:headerReference r:id="rId3" w:type="default"/>
      <w:footerReference r:id="rId4" w:type="default"/>
      <w:pgSz w:w="11906" w:h="16838"/>
      <w:pgMar w:top="1440" w:right="1800" w:bottom="1440" w:left="1800" w:header="1134" w:footer="116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w:t>
    </w:r>
    <w:r>
      <w:rPr>
        <w:rFonts w:hint="eastAsia" w:ascii="Arial" w:hAnsi="Arial" w:eastAsia="新宋体" w:cs="Arial"/>
        <w:b/>
        <w:color w:val="008000"/>
        <w:sz w:val="44"/>
        <w:szCs w:val="44"/>
        <w:lang w:eastAsia="zh-CN"/>
      </w:rPr>
      <w:t>艾克姆新材料股份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sz w:val="18"/>
        <w:szCs w:val="18"/>
      </w:rPr>
      <w:t>电话：</w:t>
    </w:r>
    <w:r>
      <w:rPr>
        <w:rFonts w:hint="eastAsia" w:ascii="Arial" w:hAnsi="Arial" w:cs="Arial"/>
        <w:color w:val="008000"/>
        <w:sz w:val="18"/>
        <w:szCs w:val="18"/>
      </w:rPr>
      <w:t>0</w:t>
    </w:r>
    <w:r>
      <w:rPr>
        <w:rFonts w:ascii="Arial" w:hAnsi="Arial" w:cs="Arial"/>
        <w:color w:val="008000"/>
        <w:sz w:val="18"/>
        <w:szCs w:val="18"/>
      </w:rPr>
      <w:t>574-</w:t>
    </w:r>
    <w:r>
      <w:rPr>
        <w:rFonts w:hint="eastAsia" w:ascii="Arial" w:hAnsi="Arial" w:cs="Arial"/>
        <w:color w:val="008000"/>
        <w:sz w:val="18"/>
        <w:szCs w:val="18"/>
      </w:rPr>
      <w:t xml:space="preserve">87468726  </w:t>
    </w:r>
    <w:r>
      <w:rPr>
        <w:rFonts w:hint="eastAsia" w:ascii="Arial" w:hAnsi="Arial" w:cs="Arial"/>
        <w:color w:val="008000"/>
        <w:kern w:val="0"/>
        <w:sz w:val="18"/>
        <w:szCs w:val="18"/>
      </w:rPr>
      <w:t>传真：</w:t>
    </w:r>
    <w:r>
      <w:rPr>
        <w:rFonts w:ascii="Arial" w:hAnsi="Arial" w:cs="Arial"/>
        <w:color w:val="008000"/>
        <w:sz w:val="18"/>
        <w:szCs w:val="18"/>
      </w:rPr>
      <w:t>0574-</w:t>
    </w:r>
    <w:r>
      <w:rPr>
        <w:rFonts w:hint="eastAsia" w:ascii="Arial" w:hAnsi="Arial" w:cs="Arial"/>
        <w:color w:val="008000"/>
        <w:sz w:val="18"/>
        <w:szCs w:val="18"/>
      </w:rPr>
      <w:t>88002102  Email：dychem@actmix.cn  网址：</w:t>
    </w:r>
    <w:r>
      <w:rPr>
        <w:rFonts w:ascii="Arial" w:hAnsi="Arial" w:cs="Arial"/>
        <w:color w:val="008000"/>
        <w:kern w:val="0"/>
        <w:sz w:val="18"/>
        <w:szCs w:val="18"/>
      </w:rPr>
      <w:t>www.actmix.</w:t>
    </w:r>
    <w:r>
      <w:rPr>
        <w:rFonts w:hint="eastAsia" w:ascii="Arial" w:hAnsi="Arial" w:cs="Arial"/>
        <w:color w:val="008000"/>
        <w:kern w:val="0"/>
        <w:sz w:val="18"/>
        <w:szCs w:val="18"/>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ascii="Arial" w:hAnsi="Arial" w:cs="Arial"/>
        <w:sz w:val="30"/>
        <w:szCs w:val="30"/>
        <w:lang w:val="en-US" w:eastAsia="zh-CN"/>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lang w:val="en-US" w:eastAsia="zh-CN"/>
      </w:rPr>
      <w:t xml:space="preserve"> </w:t>
    </w:r>
  </w:p>
  <w:p>
    <w:pPr>
      <w:pStyle w:val="4"/>
      <w:pBdr>
        <w:bottom w:val="none" w:color="auto" w:sz="0" w:space="1"/>
      </w:pBdr>
      <w:jc w:val="left"/>
      <w:rPr>
        <w:rFonts w:hint="eastAsia" w:ascii="Arial" w:hAnsi="Arial" w:cs="Arial"/>
        <w:sz w:val="30"/>
        <w:szCs w:val="3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3DF"/>
    <w:rsid w:val="000E5938"/>
    <w:rsid w:val="0024558C"/>
    <w:rsid w:val="0025454F"/>
    <w:rsid w:val="00324E45"/>
    <w:rsid w:val="00681409"/>
    <w:rsid w:val="006D5AEB"/>
    <w:rsid w:val="0073614F"/>
    <w:rsid w:val="007E614D"/>
    <w:rsid w:val="008031FF"/>
    <w:rsid w:val="008A4F1E"/>
    <w:rsid w:val="00900B6B"/>
    <w:rsid w:val="00B418EF"/>
    <w:rsid w:val="00CA0726"/>
    <w:rsid w:val="00D05026"/>
    <w:rsid w:val="00E4764D"/>
    <w:rsid w:val="00E522A4"/>
    <w:rsid w:val="00F7452F"/>
    <w:rsid w:val="00FA206C"/>
    <w:rsid w:val="00FD797D"/>
    <w:rsid w:val="00FE6985"/>
    <w:rsid w:val="043E034A"/>
    <w:rsid w:val="0A623BA0"/>
    <w:rsid w:val="0C155D47"/>
    <w:rsid w:val="1D210235"/>
    <w:rsid w:val="2184267D"/>
    <w:rsid w:val="28072B90"/>
    <w:rsid w:val="2DF249EE"/>
    <w:rsid w:val="35695FC9"/>
    <w:rsid w:val="39B22608"/>
    <w:rsid w:val="43825436"/>
    <w:rsid w:val="4383152C"/>
    <w:rsid w:val="441455BD"/>
    <w:rsid w:val="4A381337"/>
    <w:rsid w:val="4C422A9E"/>
    <w:rsid w:val="4EC72333"/>
    <w:rsid w:val="55F02EDD"/>
    <w:rsid w:val="680050A2"/>
    <w:rsid w:val="72BE220F"/>
    <w:rsid w:val="78771C2C"/>
    <w:rsid w:val="7B8E3752"/>
    <w:rsid w:val="7BCD11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unhideWhenUsed/>
    <w:qFormat/>
    <w:uiPriority w:val="0"/>
    <w:rPr>
      <w:color w:val="0000FF"/>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0"/>
    <w:rPr>
      <w:rFonts w:ascii="Calibri" w:hAnsi="Calibri"/>
      <w:kern w:val="2"/>
      <w:sz w:val="18"/>
      <w:szCs w:val="18"/>
    </w:rPr>
  </w:style>
  <w:style w:type="character" w:customStyle="1" w:styleId="11">
    <w:name w:val="页脚 Char"/>
    <w:basedOn w:val="7"/>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140</Words>
  <Characters>798</Characters>
  <Lines>6</Lines>
  <Paragraphs>1</Paragraphs>
  <TotalTime>4</TotalTime>
  <ScaleCrop>false</ScaleCrop>
  <LinksUpToDate>false</LinksUpToDate>
  <CharactersWithSpaces>937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2015-02-04T02:06:00Z</dcterms:created>
  <dc:creator>dadi</dc:creator>
  <cp:lastModifiedBy>江心秋月白</cp:lastModifiedBy>
  <dcterms:modified xsi:type="dcterms:W3CDTF">2021-03-06T03:39:33Z</dcterms:modified>
  <dc:title> Technical Data Sheet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